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94556" w:rsidRPr="001346CC">
        <w:trPr>
          <w:jc w:val="center"/>
        </w:trPr>
        <w:tc>
          <w:tcPr>
            <w:tcW w:w="743" w:type="dxa"/>
          </w:tcPr>
          <w:p w:rsidR="00694556" w:rsidRPr="001346CC" w:rsidRDefault="001346CC" w:rsidP="001346CC">
            <w:pPr>
              <w:bidi w:val="0"/>
              <w:jc w:val="both"/>
              <w:rPr>
                <w:rFonts w:ascii="Arial" w:hAnsi="Arial"/>
                <w:b/>
                <w:bCs/>
                <w:sz w:val="26"/>
                <w:szCs w:val="26"/>
              </w:rPr>
            </w:pPr>
            <w:r>
              <w:rPr>
                <w:rFonts w:ascii="Arial" w:hAnsi="Arial" w:hint="cs"/>
                <w:b/>
                <w:bCs/>
                <w:sz w:val="26"/>
                <w:szCs w:val="26"/>
                <w:rtl/>
              </w:rPr>
              <w:t>ל</w:t>
            </w:r>
            <w:r w:rsidR="00005C8B" w:rsidRPr="001346CC">
              <w:rPr>
                <w:rFonts w:ascii="Arial" w:hAnsi="Arial"/>
                <w:b/>
                <w:bCs/>
                <w:sz w:val="26"/>
                <w:szCs w:val="26"/>
                <w:rtl/>
              </w:rPr>
              <w:t xml:space="preserve">פני </w:t>
            </w:r>
          </w:p>
        </w:tc>
        <w:tc>
          <w:tcPr>
            <w:tcW w:w="8077" w:type="dxa"/>
            <w:gridSpan w:val="2"/>
          </w:tcPr>
          <w:p w:rsidR="00694556" w:rsidRDefault="00116E4D" w:rsidP="001346CC">
            <w:pPr>
              <w:rPr>
                <w:rFonts w:ascii="Arial" w:hAnsi="Arial" w:cs="FrankRuehl"/>
                <w:sz w:val="26"/>
                <w:szCs w:val="26"/>
                <w:highlight w:val="yellow"/>
                <w:rtl/>
              </w:rPr>
            </w:pPr>
            <w:r>
              <w:rPr>
                <w:rFonts w:ascii="Arial" w:hAnsi="Arial"/>
                <w:b/>
                <w:bCs/>
                <w:sz w:val="26"/>
                <w:szCs w:val="26"/>
                <w:rtl/>
              </w:rPr>
              <w:t>כב' השופט שאול שוחט, סגן נשיא</w:t>
            </w:r>
          </w:p>
          <w:p w:rsidR="00116E4D" w:rsidRPr="001346CC" w:rsidRDefault="00116E4D" w:rsidP="001346CC">
            <w:pPr>
              <w:rPr>
                <w:rFonts w:ascii="Arial" w:hAnsi="Arial" w:cs="FrankRuehl"/>
                <w:sz w:val="26"/>
                <w:szCs w:val="26"/>
                <w:highlight w:val="yellow"/>
              </w:rPr>
            </w:pPr>
          </w:p>
        </w:tc>
      </w:tr>
      <w:tr w:rsidR="00694556" w:rsidRPr="001346CC">
        <w:trPr>
          <w:jc w:val="center"/>
        </w:trPr>
        <w:tc>
          <w:tcPr>
            <w:tcW w:w="3249" w:type="dxa"/>
            <w:gridSpan w:val="2"/>
          </w:tcPr>
          <w:p w:rsidR="00694556" w:rsidRPr="001346CC" w:rsidRDefault="00694556">
            <w:pPr>
              <w:bidi w:val="0"/>
              <w:jc w:val="right"/>
              <w:rPr>
                <w:rFonts w:ascii="Arial" w:hAnsi="Arial"/>
                <w:b/>
                <w:bCs/>
                <w:noProof w:val="0"/>
                <w:sz w:val="26"/>
                <w:szCs w:val="26"/>
              </w:rPr>
            </w:pPr>
          </w:p>
          <w:sdt>
            <w:sdtPr>
              <w:rPr>
                <w:sz w:val="26"/>
                <w:szCs w:val="26"/>
              </w:rPr>
              <w:alias w:val="1180"/>
              <w:tag w:val="1180"/>
              <w:id w:val="-1623374073"/>
              <w:text w:multiLine="1"/>
            </w:sdtPr>
            <w:sdtEndPr/>
            <w:sdtContent>
              <w:p w:rsidR="008A757D" w:rsidRDefault="004E76EA">
                <w:pPr>
                  <w:bidi w:val="0"/>
                  <w:jc w:val="right"/>
                  <w:rPr>
                    <w:rFonts w:ascii="Arial" w:hAnsi="Arial"/>
                    <w:b/>
                    <w:bCs/>
                    <w:noProof w:val="0"/>
                    <w:sz w:val="26"/>
                    <w:szCs w:val="26"/>
                    <w:rtl/>
                  </w:rPr>
                </w:pPr>
                <w:r>
                  <w:rPr>
                    <w:rFonts w:ascii="Arial" w:hAnsi="Arial"/>
                    <w:b/>
                    <w:bCs/>
                    <w:noProof w:val="0"/>
                    <w:sz w:val="26"/>
                    <w:szCs w:val="26"/>
                    <w:rtl/>
                  </w:rPr>
                  <w:t>מבקשים</w:t>
                </w:r>
              </w:p>
            </w:sdtContent>
          </w:sdt>
        </w:tc>
        <w:tc>
          <w:tcPr>
            <w:tcW w:w="5571" w:type="dxa"/>
          </w:tcPr>
          <w:p w:rsidR="003506A5" w:rsidRDefault="004E76EA">
            <w:pPr>
              <w:rPr>
                <w:sz w:val="26"/>
                <w:szCs w:val="26"/>
                <w:rtl/>
              </w:rPr>
            </w:pPr>
            <w:r>
              <w:rPr>
                <w:rFonts w:ascii="Arial" w:hAnsi="Arial" w:hint="cs"/>
                <w:b/>
                <w:bCs/>
                <w:noProof w:val="0"/>
                <w:sz w:val="26"/>
                <w:szCs w:val="26"/>
                <w:rtl/>
              </w:rPr>
              <w:t>פלוני</w:t>
            </w:r>
          </w:p>
          <w:p w:rsidR="00694556" w:rsidRPr="001346CC" w:rsidRDefault="004E76EA">
            <w:pPr>
              <w:rPr>
                <w:b/>
                <w:bCs/>
                <w:noProof w:val="0"/>
                <w:sz w:val="26"/>
                <w:szCs w:val="26"/>
              </w:rPr>
            </w:pPr>
            <w:r>
              <w:rPr>
                <w:rFonts w:hint="cs"/>
                <w:sz w:val="26"/>
                <w:szCs w:val="26"/>
                <w:rtl/>
              </w:rPr>
              <w:t>ע"י ב"כ עו"ד שי זוהר ו/או אליהו ריכטר</w:t>
            </w:r>
          </w:p>
        </w:tc>
      </w:tr>
      <w:tr w:rsidR="00694556" w:rsidRPr="001346CC">
        <w:trPr>
          <w:jc w:val="center"/>
        </w:trPr>
        <w:tc>
          <w:tcPr>
            <w:tcW w:w="8820" w:type="dxa"/>
            <w:gridSpan w:val="3"/>
          </w:tcPr>
          <w:p w:rsidR="00694556" w:rsidRPr="004E76EA" w:rsidRDefault="00694556">
            <w:pPr>
              <w:rPr>
                <w:rFonts w:ascii="Arial" w:hAnsi="Arial"/>
                <w:b/>
                <w:bCs/>
                <w:noProof w:val="0"/>
                <w:sz w:val="26"/>
                <w:szCs w:val="26"/>
                <w:rtl/>
              </w:rPr>
            </w:pPr>
          </w:p>
          <w:p w:rsidR="00694556" w:rsidRPr="001346CC" w:rsidRDefault="00005C8B">
            <w:pPr>
              <w:jc w:val="center"/>
              <w:rPr>
                <w:rFonts w:ascii="Arial" w:hAnsi="Arial"/>
                <w:b/>
                <w:bCs/>
                <w:noProof w:val="0"/>
                <w:sz w:val="26"/>
                <w:szCs w:val="26"/>
                <w:rtl/>
              </w:rPr>
            </w:pPr>
            <w:r w:rsidRPr="001346CC">
              <w:rPr>
                <w:rFonts w:ascii="Arial" w:hAnsi="Arial"/>
                <w:b/>
                <w:bCs/>
                <w:noProof w:val="0"/>
                <w:sz w:val="26"/>
                <w:szCs w:val="26"/>
                <w:rtl/>
              </w:rPr>
              <w:t>נגד</w:t>
            </w:r>
          </w:p>
          <w:p w:rsidR="00694556" w:rsidRPr="001346CC" w:rsidRDefault="00694556">
            <w:pPr>
              <w:rPr>
                <w:rFonts w:ascii="Arial" w:hAnsi="Arial"/>
                <w:b/>
                <w:bCs/>
                <w:noProof w:val="0"/>
                <w:sz w:val="26"/>
                <w:szCs w:val="26"/>
              </w:rPr>
            </w:pPr>
          </w:p>
        </w:tc>
      </w:tr>
      <w:tr w:rsidR="00694556" w:rsidRPr="001346CC">
        <w:trPr>
          <w:jc w:val="center"/>
        </w:trPr>
        <w:tc>
          <w:tcPr>
            <w:tcW w:w="3249" w:type="dxa"/>
            <w:gridSpan w:val="2"/>
          </w:tcPr>
          <w:p w:rsidR="00694556" w:rsidRPr="001346CC" w:rsidRDefault="00694556">
            <w:pPr>
              <w:rPr>
                <w:rFonts w:ascii="Arial" w:hAnsi="Arial"/>
                <w:b/>
                <w:bCs/>
                <w:noProof w:val="0"/>
                <w:sz w:val="26"/>
                <w:szCs w:val="26"/>
                <w:rtl/>
              </w:rPr>
            </w:pPr>
          </w:p>
          <w:p w:rsidR="00694556" w:rsidRPr="001346CC" w:rsidRDefault="000B0DA9">
            <w:pPr>
              <w:rPr>
                <w:rFonts w:ascii="Arial" w:hAnsi="Arial"/>
                <w:b/>
                <w:bCs/>
                <w:noProof w:val="0"/>
                <w:sz w:val="26"/>
                <w:szCs w:val="26"/>
              </w:rPr>
            </w:pPr>
            <w:sdt>
              <w:sdtPr>
                <w:rPr>
                  <w:sz w:val="26"/>
                  <w:szCs w:val="26"/>
                  <w:rtl/>
                </w:rPr>
                <w:alias w:val="1184"/>
                <w:tag w:val="1184"/>
                <w:id w:val="-310096844"/>
                <w:text w:multiLine="1"/>
              </w:sdtPr>
              <w:sdtEndPr/>
              <w:sdtContent>
                <w:r w:rsidR="00FB7194">
                  <w:rPr>
                    <w:rFonts w:ascii="Arial" w:hAnsi="Arial"/>
                    <w:b/>
                    <w:bCs/>
                    <w:noProof w:val="0"/>
                    <w:sz w:val="26"/>
                    <w:szCs w:val="26"/>
                    <w:rtl/>
                  </w:rPr>
                  <w:t>משיבים</w:t>
                </w:r>
              </w:sdtContent>
            </w:sdt>
          </w:p>
        </w:tc>
        <w:tc>
          <w:tcPr>
            <w:tcW w:w="5571" w:type="dxa"/>
          </w:tcPr>
          <w:p w:rsidR="003506A5" w:rsidRDefault="004E76EA">
            <w:pPr>
              <w:rPr>
                <w:sz w:val="26"/>
                <w:szCs w:val="26"/>
                <w:rtl/>
              </w:rPr>
            </w:pPr>
            <w:r>
              <w:rPr>
                <w:rFonts w:ascii="Arial" w:hAnsi="Arial" w:hint="cs"/>
                <w:b/>
                <w:bCs/>
                <w:noProof w:val="0"/>
                <w:sz w:val="26"/>
                <w:szCs w:val="26"/>
                <w:rtl/>
              </w:rPr>
              <w:t>אלמונית</w:t>
            </w:r>
          </w:p>
          <w:p w:rsidR="00694556" w:rsidRPr="001346CC" w:rsidRDefault="004E76EA">
            <w:pPr>
              <w:rPr>
                <w:b/>
                <w:bCs/>
                <w:noProof w:val="0"/>
                <w:sz w:val="26"/>
                <w:szCs w:val="26"/>
                <w:rtl/>
              </w:rPr>
            </w:pPr>
            <w:r>
              <w:rPr>
                <w:rFonts w:hint="cs"/>
                <w:sz w:val="26"/>
                <w:szCs w:val="26"/>
                <w:rtl/>
              </w:rPr>
              <w:t>ע"י ב"כ עו"ד עינת סיני</w:t>
            </w:r>
          </w:p>
        </w:tc>
      </w:tr>
    </w:tbl>
    <w:p w:rsidR="00694556" w:rsidRPr="004E76EA" w:rsidRDefault="00694556" w:rsidP="008023D9">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5E2E46">
            <w:pPr>
              <w:bidi w:val="0"/>
              <w:jc w:val="center"/>
              <w:rPr>
                <w:rFonts w:ascii="Arial" w:hAnsi="Arial"/>
                <w:b/>
                <w:bCs/>
                <w:noProof w:val="0"/>
                <w:sz w:val="28"/>
                <w:szCs w:val="28"/>
                <w:u w:val="single"/>
              </w:rPr>
            </w:pPr>
            <w:r>
              <w:rPr>
                <w:rFonts w:ascii="Arial" w:hAnsi="Arial" w:hint="cs"/>
                <w:b/>
                <w:bCs/>
                <w:noProof w:val="0"/>
                <w:sz w:val="28"/>
                <w:szCs w:val="28"/>
                <w:u w:val="single"/>
                <w:rtl/>
              </w:rPr>
              <w:t>פסק דין</w:t>
            </w:r>
            <w:r w:rsidR="00F6530F">
              <w:rPr>
                <w:rFonts w:ascii="Arial" w:hAnsi="Arial" w:hint="cs"/>
                <w:b/>
                <w:bCs/>
                <w:noProof w:val="0"/>
                <w:sz w:val="28"/>
                <w:szCs w:val="28"/>
                <w:u w:val="single"/>
                <w:rtl/>
              </w:rPr>
              <w:t xml:space="preserve"> (מתוקן)</w:t>
            </w:r>
          </w:p>
        </w:tc>
      </w:tr>
    </w:tbl>
    <w:p w:rsidR="004E76EA" w:rsidRDefault="004E76EA" w:rsidP="004E76EA">
      <w:pPr>
        <w:spacing w:line="360" w:lineRule="auto"/>
        <w:jc w:val="both"/>
        <w:rPr>
          <w:rFonts w:ascii="David" w:hAnsi="David"/>
          <w:rtl/>
        </w:rPr>
      </w:pPr>
    </w:p>
    <w:p w:rsidR="004E76EA" w:rsidRDefault="004E76EA" w:rsidP="004E76EA">
      <w:pPr>
        <w:spacing w:line="360" w:lineRule="auto"/>
        <w:jc w:val="both"/>
        <w:rPr>
          <w:rFonts w:ascii="David" w:hAnsi="David"/>
          <w:rtl/>
        </w:rPr>
      </w:pPr>
    </w:p>
    <w:p w:rsidR="004E76EA" w:rsidRDefault="004E76EA" w:rsidP="004E76EA">
      <w:pPr>
        <w:spacing w:line="360" w:lineRule="auto"/>
        <w:jc w:val="both"/>
        <w:rPr>
          <w:rFonts w:ascii="David" w:hAnsi="David"/>
          <w:rtl/>
        </w:rPr>
      </w:pPr>
      <w:r>
        <w:rPr>
          <w:rFonts w:ascii="David" w:hAnsi="David"/>
          <w:rtl/>
        </w:rPr>
        <w:t xml:space="preserve">בקשת רשות ערעור על החלטת בית המשפט לענייני משפחה במחוז תל-אביב (כב' השופט יהורם שקד, בתלה"מ 38238-06-22) שקיבלה באופן חלקי </w:t>
      </w:r>
      <w:r w:rsidR="005A7523">
        <w:rPr>
          <w:rFonts w:ascii="David" w:hAnsi="David" w:hint="cs"/>
          <w:rtl/>
        </w:rPr>
        <w:t xml:space="preserve">את </w:t>
      </w:r>
      <w:r>
        <w:rPr>
          <w:rFonts w:ascii="David" w:hAnsi="David"/>
          <w:rtl/>
        </w:rPr>
        <w:t>בקשת המבקש לקבלת חומרי גלם ששימשו את המומחית מטעם ביהמ"ש לעריכת חוות דעתה.</w:t>
      </w:r>
    </w:p>
    <w:p w:rsidR="004E76EA" w:rsidRDefault="004E76EA" w:rsidP="004E76EA">
      <w:pPr>
        <w:spacing w:line="360" w:lineRule="auto"/>
        <w:jc w:val="both"/>
        <w:rPr>
          <w:rFonts w:ascii="David" w:hAnsi="David"/>
          <w:rtl/>
        </w:rPr>
      </w:pPr>
    </w:p>
    <w:p w:rsidR="004E76EA" w:rsidRDefault="004E76EA" w:rsidP="004E76EA">
      <w:pPr>
        <w:spacing w:line="360" w:lineRule="auto"/>
        <w:jc w:val="both"/>
        <w:rPr>
          <w:rFonts w:ascii="David" w:hAnsi="David"/>
          <w:b/>
          <w:bCs/>
          <w:u w:val="single"/>
          <w:rtl/>
        </w:rPr>
      </w:pPr>
      <w:r>
        <w:rPr>
          <w:rFonts w:ascii="David" w:hAnsi="David"/>
          <w:b/>
          <w:bCs/>
          <w:u w:val="single"/>
          <w:rtl/>
        </w:rPr>
        <w:t>העובדות הצריכות לעניין</w:t>
      </w:r>
    </w:p>
    <w:p w:rsidR="004E76EA" w:rsidRDefault="004E76EA" w:rsidP="004E76EA">
      <w:pPr>
        <w:spacing w:line="360" w:lineRule="auto"/>
        <w:jc w:val="both"/>
        <w:rPr>
          <w:rFonts w:ascii="David" w:hAnsi="David"/>
          <w:rtl/>
        </w:rPr>
      </w:pPr>
    </w:p>
    <w:p w:rsidR="004E76EA" w:rsidRDefault="004E76EA" w:rsidP="004E76EA">
      <w:pPr>
        <w:spacing w:line="360" w:lineRule="auto"/>
        <w:jc w:val="both"/>
        <w:rPr>
          <w:rFonts w:ascii="David" w:hAnsi="David"/>
          <w:b/>
          <w:bCs/>
          <w:rtl/>
        </w:rPr>
      </w:pPr>
      <w:r>
        <w:rPr>
          <w:rFonts w:ascii="David" w:hAnsi="David"/>
          <w:rtl/>
        </w:rPr>
        <w:t xml:space="preserve">הצדדים הם בני זוג לשעבר, הורים לקטין בן -10 שמאובחן על הרצף האוטיסטי. הקטין נמצא במשמורת משותפת של שני הוריו, עם הסדרי שהות כמעט שוויוניים. המשיבה מתגוררת בבית אמה. אחיה של האם (דודו של הקטין) , המצוי אף הוא על הרצף האוטיסטי, מתגורר במעון לאוטיסטים בוגרים אך במהלך סופי שבוע וחגים מתגורר בבית אמו (שם כאמור מתגוררת גם המשיבה והקטין בשעה שעמה). על רקע טענות מצד המבקש לתקיפות מצד הדוד את הקטין והליכים שהתנהלו בעניין זה פנה המבקש והגיש ביום 19.6.22 תביעה למתן צו מניעה קבוע שיאסור על המשיבה לשכן את הקטין בביתה עת אחיה נמצא שם ( תלה"מ 38238-06-22). בדיון שהתקיים בתביעה ביום 29.6.22 ולאור טענות הדדיות חמורות מטעם שני הצדדים החליט ביהמ"ש קמא כי יש להפנות את הצדדים לבדיקת מסוגלות הורית. בהחלטה שניתנה ביום 8.8.22 קבע ביהמ"ש קמא כי כמומחה מטעם ביהמ"ש ימונה "הבית של טלי" וזאת על מנת שיגיש לביהמ"ש </w:t>
      </w:r>
      <w:r>
        <w:rPr>
          <w:rFonts w:ascii="David" w:hAnsi="David"/>
          <w:b/>
          <w:bCs/>
          <w:rtl/>
        </w:rPr>
        <w:t>"דו"ח מסוגלות הורית, לרבות המלצות רוחביות בכל הקשור לקטין ולהסדרי הקשר שלו עם הוריו".</w:t>
      </w:r>
    </w:p>
    <w:p w:rsidR="004E76EA" w:rsidRDefault="004E76EA" w:rsidP="004E76EA">
      <w:pPr>
        <w:spacing w:line="360" w:lineRule="auto"/>
        <w:jc w:val="both"/>
        <w:rPr>
          <w:rFonts w:ascii="David" w:hAnsi="David"/>
          <w:b/>
          <w:bCs/>
          <w:rtl/>
        </w:rPr>
      </w:pPr>
    </w:p>
    <w:p w:rsidR="004E76EA" w:rsidRDefault="004E76EA" w:rsidP="004E76EA">
      <w:pPr>
        <w:spacing w:line="360" w:lineRule="auto"/>
        <w:jc w:val="both"/>
        <w:rPr>
          <w:rFonts w:ascii="David" w:hAnsi="David"/>
          <w:rtl/>
        </w:rPr>
      </w:pPr>
      <w:r>
        <w:rPr>
          <w:rFonts w:ascii="David" w:hAnsi="David"/>
          <w:rtl/>
        </w:rPr>
        <w:t xml:space="preserve">ביום 3.5.23 הגישה המומחית מטעם ביהמ"ש את חוות דעתה. מדובר בחוות דעת מקיפה המונה 95 עמודים שנערכה לאחר שורה של מפגשים ובדיקות שערכה המומחית עם גורמים שונים וביניהם הצדדים, הקטין, דודו של הקטין, אמה של המשיבה וכן אחותו של המבקש. </w:t>
      </w:r>
    </w:p>
    <w:p w:rsidR="004E76EA" w:rsidRDefault="004E76EA" w:rsidP="004E76EA">
      <w:pPr>
        <w:spacing w:line="360" w:lineRule="auto"/>
        <w:jc w:val="both"/>
        <w:rPr>
          <w:rFonts w:ascii="David" w:hAnsi="David"/>
          <w:rtl/>
        </w:rPr>
      </w:pPr>
    </w:p>
    <w:p w:rsidR="004E76EA" w:rsidRDefault="004E76EA" w:rsidP="004E76EA">
      <w:pPr>
        <w:spacing w:line="360" w:lineRule="auto"/>
        <w:jc w:val="both"/>
        <w:rPr>
          <w:rFonts w:ascii="David" w:hAnsi="David"/>
          <w:rtl/>
        </w:rPr>
      </w:pPr>
      <w:r>
        <w:rPr>
          <w:rFonts w:ascii="David" w:hAnsi="David"/>
          <w:rtl/>
        </w:rPr>
        <w:t xml:space="preserve">המבקש טוען כי אותה חוות דעת מוטה כנגדו באופן קיצוני ונגועה ברשלנות מקצועית חמורה. ביום 11.5.23 פנה המבקש לביהמ"ש קמא ב"בקשה פורמאלית לקבלת חומרי הגלם של דו"ח הערכת מסוגלות הורית". בבקשתו זו טען כי על מנת שיוכל לכלכל את צעדיו ביחס לחווה"ד הוא נעזר </w:t>
      </w:r>
      <w:r>
        <w:rPr>
          <w:rFonts w:ascii="David" w:hAnsi="David"/>
          <w:rtl/>
        </w:rPr>
        <w:lastRenderedPageBreak/>
        <w:t xml:space="preserve">במומחית מטעמו, פסיכולוגית קלינית בהכשרתה וכי הוא מבקש להורות למומחית מטעם ביהמ"ש להעביר </w:t>
      </w:r>
      <w:r w:rsidRPr="006706BF">
        <w:rPr>
          <w:rFonts w:ascii="David" w:hAnsi="David"/>
          <w:u w:val="single"/>
          <w:rtl/>
        </w:rPr>
        <w:t>אליה</w:t>
      </w:r>
      <w:r w:rsidR="006706BF">
        <w:rPr>
          <w:rFonts w:ascii="David" w:hAnsi="David" w:hint="cs"/>
          <w:rtl/>
        </w:rPr>
        <w:t xml:space="preserve">, </w:t>
      </w:r>
      <w:r w:rsidR="006706BF" w:rsidRPr="006706BF">
        <w:rPr>
          <w:rFonts w:ascii="David" w:hAnsi="David" w:hint="cs"/>
          <w:u w:val="single"/>
          <w:rtl/>
        </w:rPr>
        <w:t>אל המומחית מטעמו</w:t>
      </w:r>
      <w:r>
        <w:rPr>
          <w:rFonts w:ascii="David" w:hAnsi="David"/>
          <w:rtl/>
        </w:rPr>
        <w:t xml:space="preserve"> "</w:t>
      </w:r>
      <w:r>
        <w:rPr>
          <w:rFonts w:ascii="David" w:hAnsi="David"/>
          <w:b/>
          <w:bCs/>
          <w:rtl/>
        </w:rPr>
        <w:t>את כל חומרי הגלם של ההערכה שבוצעה לרבות המבחנים והבדיקה כולה של שני הצדדים, של הקטין ושל אחיה של המשיבה</w:t>
      </w:r>
      <w:r>
        <w:rPr>
          <w:rFonts w:ascii="David" w:hAnsi="David"/>
          <w:rtl/>
        </w:rPr>
        <w:t>". ביום 14.5.23 הורה ביהמ"ש קמא למשיבה, לאפוט' לדין לקטין וכן למומחית מטעמו להשיב לבקשה.</w:t>
      </w:r>
    </w:p>
    <w:p w:rsidR="005A7523" w:rsidRDefault="005A7523" w:rsidP="004E76EA">
      <w:pPr>
        <w:spacing w:line="360" w:lineRule="auto"/>
        <w:jc w:val="both"/>
        <w:rPr>
          <w:rFonts w:ascii="David" w:hAnsi="David"/>
          <w:rtl/>
        </w:rPr>
      </w:pPr>
    </w:p>
    <w:p w:rsidR="004E76EA" w:rsidRPr="005A7523" w:rsidRDefault="004E76EA" w:rsidP="005A7523">
      <w:pPr>
        <w:spacing w:line="360" w:lineRule="auto"/>
        <w:jc w:val="both"/>
        <w:rPr>
          <w:rFonts w:ascii="David" w:hAnsi="David"/>
          <w:b/>
          <w:bCs/>
          <w:rtl/>
        </w:rPr>
      </w:pPr>
      <w:r>
        <w:rPr>
          <w:rFonts w:ascii="David" w:hAnsi="David"/>
          <w:rtl/>
        </w:rPr>
        <w:t>ביום 16.5.23 הודיעה המומחית מטעם ביהמ"ש</w:t>
      </w:r>
      <w:r w:rsidR="005A7523">
        <w:rPr>
          <w:rFonts w:ascii="David" w:hAnsi="David" w:hint="cs"/>
          <w:rtl/>
        </w:rPr>
        <w:t>,</w:t>
      </w:r>
      <w:r>
        <w:rPr>
          <w:rFonts w:ascii="David" w:hAnsi="David"/>
          <w:rtl/>
        </w:rPr>
        <w:t xml:space="preserve"> כי "</w:t>
      </w:r>
      <w:r>
        <w:rPr>
          <w:rFonts w:ascii="David" w:hAnsi="David"/>
          <w:b/>
          <w:bCs/>
          <w:rtl/>
        </w:rPr>
        <w:t xml:space="preserve">לצורך הסקת מסקנות קליניות רלוונטיות מתוך "חומרי הגלם" אין די בניירות וברישומים אלא נדרשת ההערכה הקלינית המתבצעת מול הנדבק בזמן ההעברה, הניתוח האינטגרטיבי של השניים מניב את התוצאות, ואלה מוגשות בחוות הדעת באופן מלא. לפיכך איננו ממליצים על העברת חומרי גלם. זאת ועוד, חשיפת חומרי הגלם עלולה לגרום לפגיעה מיותרת בפרטיות של הנבדקים, כאשר התוצאות הרלוונטיות הובאו כבר בחוות הדעת עצמה. מכל מקום, אם יחליט להורות על העברת חומרי גלם, על אף היעדר ערך מוסף אמיתי, אזי נבקש לכל הפחות לאפשר לכל צד לקבל את החומרים שלו בלבד, על מנת למנוע פגיעה מיותרת בצד השני וחשיפה של חומרים אינטימיים ביותר שיכולים לשמש לפגיעה אנושה בחייו של אדם". </w:t>
      </w:r>
      <w:r>
        <w:rPr>
          <w:rFonts w:ascii="David" w:hAnsi="David"/>
          <w:rtl/>
        </w:rPr>
        <w:t>עוד ציינה המומחית מטעם ביהמ"ש כי על פי קוד האתיקה של הפסיכולוגים בישראל העברת החומר אפשרית רק למומחה פסיכולוג קליני מומחה בפסיכודיאגנוסטיקה שיבחר המבקש ושכלפיו יחתמו הנבדקים על ויתור סודיות, כשאם יסרב מי מהצדדים לחתום על ויתור סודיות "נבקש החלטה שיפוטית בנוגע להעברת החומרים, שגן איננו יכולים להעביר חומרים ללא הסכמת הנבדק".</w:t>
      </w:r>
    </w:p>
    <w:p w:rsidR="004E76EA" w:rsidRDefault="004E76EA" w:rsidP="004E76EA">
      <w:pPr>
        <w:spacing w:line="360" w:lineRule="auto"/>
        <w:jc w:val="both"/>
        <w:rPr>
          <w:rFonts w:ascii="David" w:hAnsi="David"/>
          <w:rtl/>
        </w:rPr>
      </w:pPr>
    </w:p>
    <w:p w:rsidR="004E76EA" w:rsidRDefault="004E76EA" w:rsidP="004E76EA">
      <w:pPr>
        <w:spacing w:line="360" w:lineRule="auto"/>
        <w:jc w:val="both"/>
        <w:rPr>
          <w:rFonts w:ascii="David" w:hAnsi="David"/>
          <w:rtl/>
        </w:rPr>
      </w:pPr>
      <w:r>
        <w:rPr>
          <w:rFonts w:ascii="David" w:hAnsi="David"/>
          <w:rtl/>
        </w:rPr>
        <w:t>ביום 28.5.23 הודיעה המשיבה כי היא מתנגדת מכל וכל להעברת חומרי הגלם הקשורים בה ובאחיה וזאת בשל צנעת הפרט שלהם והחשש מפני השימוש שיעשה המבקש ב</w:t>
      </w:r>
      <w:r>
        <w:rPr>
          <w:rFonts w:ascii="David" w:hAnsi="David"/>
          <w:b/>
          <w:bCs/>
          <w:rtl/>
        </w:rPr>
        <w:t>"אינפורמציה הכל כך אישית הזו. יצויין כי מטבע הדברים סיפרה הנתבעת למומחית דברים אישיים עליה ועל בני משפחתה (לדוגמא על בתה שאיננה בתו של התובע) שביקשה שלא יגיעו לידיעתו של התובע, והם חלק מצנעת הפרט שלה".</w:t>
      </w:r>
      <w:r>
        <w:rPr>
          <w:rFonts w:ascii="David" w:hAnsi="David"/>
          <w:rtl/>
        </w:rPr>
        <w:t xml:space="preserve"> בכל הנוגע לאחיה ציינה כי אמה שהיא האפוטרופוא שלו והיא מסרבת בכל תוקף לזליגת מידע אישי על בנה "</w:t>
      </w:r>
      <w:r>
        <w:rPr>
          <w:rFonts w:ascii="David" w:hAnsi="David"/>
          <w:b/>
          <w:bCs/>
          <w:rtl/>
        </w:rPr>
        <w:t>מעבר למה שכבר נדרש בהליך המיותר אליו גרר אותו התובע".</w:t>
      </w:r>
    </w:p>
    <w:p w:rsidR="004E76EA" w:rsidRDefault="004E76EA" w:rsidP="004E76EA">
      <w:pPr>
        <w:spacing w:line="360" w:lineRule="auto"/>
        <w:jc w:val="both"/>
        <w:rPr>
          <w:rFonts w:ascii="David" w:hAnsi="David"/>
          <w:rtl/>
        </w:rPr>
      </w:pPr>
    </w:p>
    <w:p w:rsidR="004E76EA" w:rsidRDefault="004E76EA" w:rsidP="004E76EA">
      <w:pPr>
        <w:spacing w:line="360" w:lineRule="auto"/>
        <w:jc w:val="both"/>
        <w:rPr>
          <w:rFonts w:ascii="David" w:hAnsi="David"/>
          <w:rtl/>
        </w:rPr>
      </w:pPr>
      <w:r>
        <w:rPr>
          <w:rFonts w:ascii="David" w:hAnsi="David"/>
          <w:rtl/>
        </w:rPr>
        <w:t>ביום 1.6.23 הודיעה האפוט' לדין לקטין כי המחלוקת בין הצדדים היא לכאורה פרוצדורלית לאופן ניהול ההליך המשפטי וכי יש לדאוג לכך שחומרי הגלים שעליהם מתבססת חוות הדעת יועברו אך ורק לפסיכולוגים מומחים ולא לצדדים או לבאי כוחם.</w:t>
      </w:r>
    </w:p>
    <w:p w:rsidR="004E76EA" w:rsidRDefault="004E76EA" w:rsidP="004E76EA">
      <w:pPr>
        <w:spacing w:line="360" w:lineRule="auto"/>
        <w:jc w:val="both"/>
        <w:rPr>
          <w:rFonts w:ascii="David" w:hAnsi="David"/>
        </w:rPr>
      </w:pPr>
    </w:p>
    <w:p w:rsidR="004E76EA" w:rsidRDefault="004E76EA" w:rsidP="004E76EA">
      <w:pPr>
        <w:spacing w:line="360" w:lineRule="auto"/>
        <w:jc w:val="both"/>
        <w:rPr>
          <w:rFonts w:ascii="David" w:hAnsi="David"/>
          <w:rtl/>
        </w:rPr>
      </w:pPr>
      <w:r>
        <w:rPr>
          <w:rFonts w:ascii="David" w:hAnsi="David"/>
          <w:rtl/>
        </w:rPr>
        <w:t>ביום 6.6.23 נתן ביהמ"ש קמא את החלטתו לבקשה, כדלקמן:</w:t>
      </w:r>
    </w:p>
    <w:p w:rsidR="004E76EA" w:rsidRDefault="004E76EA" w:rsidP="004E76EA">
      <w:pPr>
        <w:spacing w:line="360" w:lineRule="auto"/>
        <w:jc w:val="both"/>
        <w:rPr>
          <w:rFonts w:ascii="David" w:hAnsi="David"/>
          <w:b/>
          <w:bCs/>
          <w:rtl/>
        </w:rPr>
      </w:pPr>
      <w:r>
        <w:rPr>
          <w:rFonts w:ascii="David" w:hAnsi="David"/>
          <w:b/>
          <w:bCs/>
          <w:rtl/>
        </w:rPr>
        <w:t>"לאחר עיון – מתיר קבלת החומרים על אודות האב ועל אודות הבן המשותף בלבד והכל לידיה של הפסיכולוגית מטעם האב.</w:t>
      </w:r>
    </w:p>
    <w:p w:rsidR="004E76EA" w:rsidRDefault="004E76EA" w:rsidP="004E76EA">
      <w:pPr>
        <w:spacing w:line="360" w:lineRule="auto"/>
        <w:jc w:val="both"/>
        <w:rPr>
          <w:rFonts w:ascii="David" w:hAnsi="David"/>
          <w:b/>
          <w:bCs/>
          <w:rtl/>
        </w:rPr>
      </w:pPr>
      <w:r>
        <w:rPr>
          <w:rFonts w:ascii="David" w:hAnsi="David"/>
          <w:b/>
          <w:bCs/>
          <w:rtl/>
        </w:rPr>
        <w:t>אינני מתיר קבלת חומרים על אודות האם ו/או על אודות מי מבני משפחה שכן הנ"ל זכאים לצנעת הפרט שלהם ולא מצאתי כי זכותו של האב להיחשף לחומרים האישיים על אודותיהם עולה על זכותם לפרטיות.</w:t>
      </w:r>
    </w:p>
    <w:p w:rsidR="004E76EA" w:rsidRDefault="004E76EA" w:rsidP="004E76EA">
      <w:pPr>
        <w:spacing w:line="360" w:lineRule="auto"/>
        <w:jc w:val="both"/>
        <w:rPr>
          <w:rFonts w:ascii="David" w:hAnsi="David"/>
          <w:b/>
          <w:bCs/>
          <w:rtl/>
        </w:rPr>
      </w:pPr>
      <w:r>
        <w:rPr>
          <w:rFonts w:ascii="David" w:hAnsi="David"/>
          <w:b/>
          <w:bCs/>
          <w:rtl/>
        </w:rPr>
        <w:lastRenderedPageBreak/>
        <w:t>הטענה כי מסירת החומרים לידי הפסיכולוגית מטעם האב לא תחשוף פרטים לאב, איננה מדויקת כלל ועיקר שכן החומרים מן הסתם על מנת להיערך למשפחה ו/או לעורר שאלות ו/או עניינים כך שאין זה מופרך כלל ועיקר כי החומרים או חלקם יזלגו אל האב משום ההליך שבפניי."</w:t>
      </w:r>
    </w:p>
    <w:p w:rsidR="004E76EA" w:rsidRDefault="004E76EA" w:rsidP="004E76EA">
      <w:pPr>
        <w:spacing w:line="360" w:lineRule="auto"/>
        <w:jc w:val="both"/>
        <w:rPr>
          <w:rFonts w:ascii="David" w:hAnsi="David"/>
          <w:rtl/>
        </w:rPr>
      </w:pPr>
    </w:p>
    <w:p w:rsidR="004E76EA" w:rsidRDefault="004E76EA" w:rsidP="004E76EA">
      <w:pPr>
        <w:spacing w:line="360" w:lineRule="auto"/>
        <w:jc w:val="both"/>
        <w:rPr>
          <w:rFonts w:ascii="David" w:hAnsi="David"/>
          <w:rtl/>
        </w:rPr>
      </w:pPr>
      <w:r>
        <w:rPr>
          <w:rFonts w:ascii="David" w:hAnsi="David"/>
          <w:rtl/>
        </w:rPr>
        <w:t>על החלטה זו מלין המבקש בבקשת רשות הערעור שלפניי. לטענת המבקש ההחלטה לוקה בחוסר סבירות קיצוני בנסיבות המקרה הנוכחי וחוסר סבירות מוחלט בהקשר הכללי. המבקש מציין כי מעולם לא ביקש לקבל לידיו אישית או לידי בא כוחו את  חומרי  הגלם אלא לפסיכולוגית מטעמו. הנימוק שהביא ביהמ"ש קמא לדחיית בקשת המבקשת משום ש"</w:t>
      </w:r>
      <w:r>
        <w:rPr>
          <w:rFonts w:ascii="David" w:hAnsi="David"/>
          <w:b/>
          <w:bCs/>
          <w:rtl/>
        </w:rPr>
        <w:t>אין זה מופרך כלל ועיקר כי החומרים או חלקים יזלגו אל האב"</w:t>
      </w:r>
      <w:r>
        <w:rPr>
          <w:rFonts w:ascii="David" w:hAnsi="David"/>
          <w:rtl/>
        </w:rPr>
        <w:t xml:space="preserve"> אינו במקום שעה שלא היו למי מהצדדים כל טענה ביחס לאמינותה, מקצועיותה או יושרתה של הפסיכולוגית מטעמו שלידיה ביקש כי יועברו החומרים. המבקש טוען כי חזקה על המשיבה ואמה (שנפגשה אף היא עם המומחית) כי כל מידע שמסרו היה רלוונטי מבחינתן לצורך עריכת חוות הדעת ולכן יש צורך בהעברת כל חומרי הגלם הללו לפסיכולוגית מטעמו. גם את החומרים הנוגעים לדודו של הקטין יש להעביר שכן המומחית מטעם ביהמ"ש קמא היא שפנתה לביהמ"ש קמא בשלב עריכת חוות הדעת וציינה כי "</w:t>
      </w:r>
      <w:r>
        <w:rPr>
          <w:rFonts w:ascii="David" w:hAnsi="David"/>
          <w:b/>
          <w:bCs/>
          <w:rtl/>
        </w:rPr>
        <w:t>לאור החשיבות של הדוד בתביעה, שכן שאלת האלימות של הדוד כלפי הקטין היא שאלה מכרעת בנוגע להסדר השהות, נבקש את אישורו של בית המשפט לזמן את הדוד לבדיקה פסיכיאטרית במכון, וכן נבקש כי יועברו לידינו חומרים רפואיים עדכנית בנוגע לדוד וכן ממסגרת הדיור בה הוא שוהה</w:t>
      </w:r>
      <w:r>
        <w:rPr>
          <w:rFonts w:ascii="David" w:hAnsi="David"/>
          <w:rtl/>
        </w:rPr>
        <w:t>" וביהמ"ש קמא אישר את בקשת המומחית .</w:t>
      </w:r>
    </w:p>
    <w:p w:rsidR="004E76EA" w:rsidRDefault="004E76EA" w:rsidP="004E76EA">
      <w:pPr>
        <w:spacing w:line="360" w:lineRule="auto"/>
        <w:jc w:val="both"/>
        <w:rPr>
          <w:rFonts w:ascii="David" w:hAnsi="David"/>
          <w:rtl/>
        </w:rPr>
      </w:pPr>
    </w:p>
    <w:p w:rsidR="004E76EA" w:rsidRDefault="004E76EA" w:rsidP="00A20EC2">
      <w:pPr>
        <w:spacing w:line="360" w:lineRule="auto"/>
        <w:jc w:val="both"/>
        <w:rPr>
          <w:rFonts w:ascii="David" w:hAnsi="David"/>
          <w:rtl/>
        </w:rPr>
      </w:pPr>
      <w:r>
        <w:rPr>
          <w:rFonts w:ascii="David" w:hAnsi="David"/>
          <w:rtl/>
        </w:rPr>
        <w:t xml:space="preserve">לבקשת רשות הערעור התבקשה תשובת המשיבה וזו הוגשה ביום 8.8.23. המשיבה עותרת לדחיית בקשת רשות הערעור. </w:t>
      </w:r>
      <w:r w:rsidR="005A7523">
        <w:rPr>
          <w:rFonts w:ascii="David" w:hAnsi="David" w:hint="cs"/>
          <w:rtl/>
        </w:rPr>
        <w:t xml:space="preserve">חלק ניכר </w:t>
      </w:r>
      <w:r w:rsidR="00A20EC2">
        <w:rPr>
          <w:rFonts w:ascii="David" w:hAnsi="David" w:hint="cs"/>
          <w:rtl/>
        </w:rPr>
        <w:t>מהתשובה מוקדש</w:t>
      </w:r>
      <w:r>
        <w:rPr>
          <w:rFonts w:ascii="David" w:hAnsi="David"/>
          <w:rtl/>
        </w:rPr>
        <w:t xml:space="preserve"> לקביעות קשות שנקבעו בחוו"ד המומחית כלפי המבקש, כשהמשיבה אף מגדירה את חוות הדעת שהוגשה "</w:t>
      </w:r>
      <w:r>
        <w:rPr>
          <w:rFonts w:ascii="David" w:hAnsi="David"/>
          <w:b/>
          <w:bCs/>
          <w:rtl/>
        </w:rPr>
        <w:t xml:space="preserve">בבחינת רעידת אדמה" </w:t>
      </w:r>
      <w:r>
        <w:rPr>
          <w:rFonts w:ascii="David" w:hAnsi="David"/>
          <w:rtl/>
        </w:rPr>
        <w:t xml:space="preserve">(ס' 1 לתשובה). המשיבה טוענת כי יש לדחות את הבקשה שכן מעמדת המומחית מטעם ביהמ"ש ניתן להבין שאין עסקינן במקרה רגיל בו מועברים חומרים מצד אחד למשנהו </w:t>
      </w:r>
      <w:r>
        <w:rPr>
          <w:rFonts w:ascii="David" w:hAnsi="David"/>
          <w:b/>
          <w:bCs/>
          <w:rtl/>
        </w:rPr>
        <w:t xml:space="preserve">"אלא כי בשל חריגות המקרה וההתנהלות שאליה נחשפה – קיים חשש ממשי לפגיעה אנושה ובלתי מידתית – במידה ויחשפו החומרים הנוגעים לצנעת חייו של הצד השני (קרי: האם). " </w:t>
      </w:r>
      <w:r>
        <w:rPr>
          <w:rFonts w:ascii="David" w:hAnsi="David"/>
          <w:rtl/>
        </w:rPr>
        <w:t>. בהמשך מסבירה המשיבה כי לאורך השנים היא חיה תחת ניסיונות שליטה של המבקש למרות שחלפו שנים מהגירושין וכי התנהלותו החודרנית לחייה באה לידי ביטוי גם בחוו"ד המומחית וכי "</w:t>
      </w:r>
      <w:r>
        <w:rPr>
          <w:rFonts w:ascii="David" w:hAnsi="David"/>
          <w:b/>
          <w:bCs/>
          <w:rtl/>
        </w:rPr>
        <w:t>באספקלריה של הדברים הללו סברה המומחית כי חשיפת מידע אישי של האם יכולה להיות הרסנית, שכן חשיפה שכזו יכולה לשמש כקרדום מצד האב להמשיך ולחפור בחייה של האם (לרבות מצבה הבריאותי של בתה שאיננה בתו) וחודרנותו תועצם באופן שיש לו השלכות מזיקות גם על הקטין</w:t>
      </w:r>
      <w:r>
        <w:rPr>
          <w:rFonts w:ascii="David" w:hAnsi="David"/>
          <w:rtl/>
        </w:rPr>
        <w:t>" (ס' 31 לתשובה). בפרק נוסף בתשובה מתייחסת המשיבה לטענות המבקש לפיהן אין עוררין לגבי היושרה של המומחית מטעמו (ס' 32-34לתשובה). המשיבה טוענת כי במסגרת החלטת ביהמ"ש קמא נקבע כי החומר הנוגע אל המבקש יועבר לפסיכולוגית מטעמו על מנת שתסייע לו בהכנת חקירתה "</w:t>
      </w:r>
      <w:r>
        <w:rPr>
          <w:rFonts w:ascii="David" w:hAnsi="David"/>
          <w:b/>
          <w:bCs/>
          <w:rtl/>
        </w:rPr>
        <w:t xml:space="preserve">אולם לאיזה צורך נדרש החומר הנוגע לאם? האם על מנת להמשיך להציק לה תחת הבחינה הבלתי פוסקת של האב וניסיונותיו לרמוס </w:t>
      </w:r>
      <w:r>
        <w:rPr>
          <w:rFonts w:ascii="David" w:hAnsi="David"/>
          <w:b/>
          <w:bCs/>
          <w:rtl/>
        </w:rPr>
        <w:lastRenderedPageBreak/>
        <w:t>אותה ואת הורותה</w:t>
      </w:r>
      <w:r>
        <w:rPr>
          <w:rFonts w:ascii="David" w:hAnsi="David"/>
          <w:rtl/>
        </w:rPr>
        <w:t>? (ס' 40 לתשובה). המשיבה טוענת כי ביהמ"ש קמא ערך איזון ראוי בין שני העקרונות המתנגשים: "</w:t>
      </w:r>
      <w:r>
        <w:rPr>
          <w:rFonts w:ascii="David" w:hAnsi="David"/>
          <w:b/>
          <w:bCs/>
          <w:rtl/>
        </w:rPr>
        <w:t>חשיפת האמת וגילוי מסמכים מצד אחד מול זכותם של צדדי ג' למניעת פגיעה בפרטיותם</w:t>
      </w:r>
      <w:r>
        <w:rPr>
          <w:rFonts w:ascii="David" w:hAnsi="David"/>
          <w:rtl/>
        </w:rPr>
        <w:t>" וכי "</w:t>
      </w:r>
      <w:r>
        <w:rPr>
          <w:rFonts w:ascii="David" w:hAnsi="David"/>
          <w:b/>
          <w:bCs/>
          <w:rtl/>
        </w:rPr>
        <w:t>אין ספק כי החלטת ביהמ"ש קמא הנכבד מאפשרת למבקש לנהל את חקירתו בצורה יסודית ומבוססת ולא נפגעת אף זכות מזכויותיו</w:t>
      </w:r>
      <w:r>
        <w:rPr>
          <w:rFonts w:ascii="David" w:hAnsi="David"/>
          <w:rtl/>
        </w:rPr>
        <w:t>" (ס' 41 לתשובה).</w:t>
      </w:r>
    </w:p>
    <w:p w:rsidR="004E76EA" w:rsidRDefault="004E76EA" w:rsidP="004E76EA">
      <w:pPr>
        <w:spacing w:line="360" w:lineRule="auto"/>
        <w:jc w:val="both"/>
        <w:rPr>
          <w:rFonts w:ascii="David" w:hAnsi="David"/>
          <w:rtl/>
        </w:rPr>
      </w:pPr>
    </w:p>
    <w:p w:rsidR="004E76EA" w:rsidRDefault="004E76EA" w:rsidP="004E76EA">
      <w:pPr>
        <w:spacing w:line="360" w:lineRule="auto"/>
        <w:jc w:val="both"/>
        <w:rPr>
          <w:rFonts w:ascii="David" w:hAnsi="David"/>
          <w:b/>
          <w:bCs/>
          <w:u w:val="single"/>
          <w:rtl/>
        </w:rPr>
      </w:pPr>
      <w:r>
        <w:rPr>
          <w:rFonts w:ascii="David" w:hAnsi="David"/>
          <w:b/>
          <w:bCs/>
          <w:u w:val="single"/>
          <w:rtl/>
        </w:rPr>
        <w:t>דיון והכרעה</w:t>
      </w:r>
    </w:p>
    <w:p w:rsidR="004E76EA" w:rsidRDefault="004E76EA" w:rsidP="004E76EA">
      <w:pPr>
        <w:spacing w:line="360" w:lineRule="auto"/>
        <w:jc w:val="both"/>
        <w:rPr>
          <w:rFonts w:ascii="David" w:hAnsi="David"/>
          <w:rtl/>
        </w:rPr>
      </w:pPr>
    </w:p>
    <w:p w:rsidR="004E76EA" w:rsidRDefault="004E76EA" w:rsidP="004E76EA">
      <w:pPr>
        <w:spacing w:line="360" w:lineRule="auto"/>
        <w:jc w:val="both"/>
        <w:rPr>
          <w:rFonts w:ascii="David" w:hAnsi="David"/>
          <w:rtl/>
        </w:rPr>
      </w:pPr>
      <w:r>
        <w:rPr>
          <w:rFonts w:ascii="David" w:hAnsi="David"/>
          <w:rtl/>
        </w:rPr>
        <w:t>לאחר עיון בבקשת רשות הערעור ובתשובה לה על נספחיהן שוכנעתי שיש מקום לתת רשות ערעור, לדון בבקשה כבערעור ולקבל הערעור באופן חלקי, באופן שיפורט להלן.</w:t>
      </w:r>
    </w:p>
    <w:p w:rsidR="004E76EA" w:rsidRDefault="004E76EA" w:rsidP="004E76EA">
      <w:pPr>
        <w:spacing w:line="360" w:lineRule="auto"/>
        <w:jc w:val="both"/>
        <w:rPr>
          <w:rFonts w:ascii="David" w:hAnsi="David"/>
          <w:rtl/>
        </w:rPr>
      </w:pPr>
    </w:p>
    <w:p w:rsidR="004E76EA" w:rsidRDefault="004E76EA" w:rsidP="004E76EA">
      <w:pPr>
        <w:spacing w:line="360" w:lineRule="auto"/>
        <w:jc w:val="both"/>
        <w:rPr>
          <w:rFonts w:ascii="David" w:hAnsi="David"/>
          <w:rtl/>
        </w:rPr>
      </w:pPr>
      <w:r>
        <w:rPr>
          <w:rFonts w:ascii="David" w:hAnsi="David"/>
          <w:rtl/>
        </w:rPr>
        <w:t xml:space="preserve">הנימוק הראשון שהביא ביהמ"ש קמא בהחלטתו לדחיית בקשת המבקש לקבלת חומרי הגלם הנוגעים </w:t>
      </w:r>
      <w:r>
        <w:rPr>
          <w:rFonts w:ascii="David" w:hAnsi="David"/>
          <w:b/>
          <w:bCs/>
          <w:rtl/>
        </w:rPr>
        <w:t>למשיבה</w:t>
      </w:r>
      <w:r w:rsidR="00E26731">
        <w:rPr>
          <w:rFonts w:ascii="David" w:hAnsi="David" w:hint="cs"/>
          <w:b/>
          <w:bCs/>
          <w:rtl/>
        </w:rPr>
        <w:t xml:space="preserve"> </w:t>
      </w:r>
      <w:r w:rsidR="00E26731" w:rsidRPr="00E26731">
        <w:rPr>
          <w:rFonts w:ascii="David" w:hAnsi="David" w:hint="cs"/>
          <w:rtl/>
        </w:rPr>
        <w:t>(האם כלשונו בהחלטה)</w:t>
      </w:r>
      <w:r>
        <w:rPr>
          <w:rFonts w:ascii="David" w:hAnsi="David"/>
          <w:b/>
          <w:bCs/>
          <w:rtl/>
        </w:rPr>
        <w:t xml:space="preserve"> </w:t>
      </w:r>
      <w:r>
        <w:rPr>
          <w:rFonts w:ascii="David" w:hAnsi="David"/>
          <w:rtl/>
        </w:rPr>
        <w:t xml:space="preserve">הוא משום שביהמ"ש קמא לא מצא כי זכותו של המבקש להיחשף לחומרים האישיים אודותיה עולה על זכותה לפרטיות. המשיבה בתשובתה סומכת ידיה על נימוק זה שהביא ביהמ"ש קמא בהחלטתו ומוצאת לו תימוכין בעמדת המומחית מטעם ביהמ"ש קמא. לאחר בחינת הטענות לא אוכל לקבל נימוק זה כטעם לדחיית בקשת המבקש לקבלת חומרי הגלם ששימשו את המומחית מטעם ביהמ"ש קמא ושמקורם בבדיקת המשיבה על-ידה. אחת המטרות העומדות ביסוד ההליך השיפוטי הינה גילוי ובירור האמת. הגשת עיקרון זה מחייבת גילוי, שקיפות וחשיפה של כלל החומר, המסמכים והנתונים הצריכים לעניין שבמחלוקת (ע"א 1412/94 </w:t>
      </w:r>
      <w:r>
        <w:rPr>
          <w:rFonts w:ascii="David" w:hAnsi="David"/>
          <w:b/>
          <w:bCs/>
          <w:u w:val="single"/>
          <w:rtl/>
        </w:rPr>
        <w:t>הסתדרות מדיצינית הדסה עין-כרם נ' גלעד</w:t>
      </w:r>
      <w:r>
        <w:rPr>
          <w:rFonts w:ascii="David" w:hAnsi="David"/>
          <w:rtl/>
        </w:rPr>
        <w:t>, פורסם בנבו, 8.11.1995). הכלל הוא כי על המומחה "לשתף" את בית המשפט הן בהליכי קליטת העובדות המשמשות בסיס למסקנותיו, והן בהליכי "העיבוד שבמומחיות" המביאים להסקת המסקנות. "שיתוף" כזה מקטין ככל שניתן את "תלותו" של בית המשפט בממצאים הנקבעים בידי "אחר". לפיכך, מחובתו של העד המומחה להציג, או לפחות להציע להציג, את ניירות העבודה שלו וחומר הגלם ששימש אותו לעריכת חוות דעתו, על מנת שבית המשפט יוכל לעקוב אחרי הליכי הסקת המסקנה שהסיק המומחה ובמידת האפשר להיות "שותף" לתהליכים אלו (ראו י.קדמי, על הראיות,  חלק שני , מהדורת 2009, בעמ' 778 והאסמכתאות המובאות שם).  המשיבה בתשובתה טוענת כי ביהמ"ש קמא בהחלטתו ביצע איזון ראוי בין חשיפת האמת "</w:t>
      </w:r>
      <w:r>
        <w:rPr>
          <w:rFonts w:ascii="David" w:hAnsi="David"/>
          <w:b/>
          <w:bCs/>
          <w:rtl/>
        </w:rPr>
        <w:t>מול זכותם של צדדי ג' למניעת פגיעה בפרטיותם</w:t>
      </w:r>
      <w:r>
        <w:rPr>
          <w:rFonts w:ascii="David" w:hAnsi="David"/>
          <w:rtl/>
        </w:rPr>
        <w:t xml:space="preserve">" (ס' 42 לתשובה) אלא שטענה זו מתעלמת מהעובדה כי המשיבה אינה צד זר להליך. תביעת המבקש הוגשה נגדה. המשיבה אף לא הייתה בבחינת "אורחת" בפגישות שנערכו עם המומחית. תכולת עבודת המומחית, לפי כתב המינוי, לא סויגה לבדיקת מסוגלות הורית של המבקש בלבד ואף חוות הדעת שהוגשה בפועל ע"י המומחית כללה דו"ח מסוגלות הורית בקשר למשיבה כמו גם בקשר למבקש. המשיבה לא שכרה את שירותה של המומחית לשם טיפול אלא ביהמ"ש קמא הוא שהורה בצו על אבחון הצדדים שניהם אצל המומחית. בנסיבות אלו, חזקה שהמשיבה סברה שמידע שמסרה במסגרת אותו אבחון למומחית, בין אם זה מצא את ביטויו במסגרת חווה"ד ובין אם לאו, רלוונטי לבדיקת המומחית, צפוי לקבל ביטוי בחווה"ד וממילא לעלות תוך כדי ההליך המשפטי המתנהל בין הצדדים (בדלתיים סגורות). </w:t>
      </w:r>
    </w:p>
    <w:p w:rsidR="004E76EA" w:rsidRDefault="004E76EA" w:rsidP="004E76EA">
      <w:pPr>
        <w:spacing w:line="360" w:lineRule="auto"/>
        <w:jc w:val="both"/>
        <w:rPr>
          <w:rFonts w:ascii="David" w:hAnsi="David"/>
          <w:rtl/>
        </w:rPr>
      </w:pPr>
    </w:p>
    <w:p w:rsidR="004E76EA" w:rsidRDefault="004E76EA" w:rsidP="00A20EC2">
      <w:pPr>
        <w:spacing w:line="360" w:lineRule="auto"/>
        <w:jc w:val="both"/>
        <w:rPr>
          <w:rFonts w:ascii="David" w:hAnsi="David"/>
          <w:rtl/>
        </w:rPr>
      </w:pPr>
      <w:r>
        <w:rPr>
          <w:rFonts w:ascii="David" w:hAnsi="David"/>
          <w:rtl/>
        </w:rPr>
        <w:t>המשיבה טוענת בעמדתה לביהמ"ש קמא כי חשיפת חומרים אינטימיים "</w:t>
      </w:r>
      <w:r>
        <w:rPr>
          <w:rFonts w:ascii="David" w:hAnsi="David"/>
          <w:b/>
          <w:bCs/>
          <w:rtl/>
        </w:rPr>
        <w:t>יכולה לשמש לפגיעה אנושה בחייו של אדם"</w:t>
      </w:r>
      <w:r>
        <w:rPr>
          <w:rFonts w:ascii="David" w:hAnsi="David"/>
          <w:rtl/>
        </w:rPr>
        <w:t xml:space="preserve"> המומחית "</w:t>
      </w:r>
      <w:r>
        <w:rPr>
          <w:rFonts w:ascii="David" w:hAnsi="David"/>
          <w:b/>
          <w:bCs/>
          <w:rtl/>
        </w:rPr>
        <w:t>כיוונה כמובן למשיבה ולבני משפחתה, המצויים תחת מתקפה בלתי פוסקת מצד האב"</w:t>
      </w:r>
      <w:r>
        <w:rPr>
          <w:rFonts w:ascii="David" w:hAnsi="David"/>
          <w:rtl/>
        </w:rPr>
        <w:t xml:space="preserve"> אך מדובר בפרשנות של המשיבה לדברי המומחית. המומחית בעמדתה לביהמ"ש קמא ציינה את הדברים באופן </w:t>
      </w:r>
      <w:r>
        <w:rPr>
          <w:rFonts w:ascii="David" w:hAnsi="David"/>
          <w:b/>
          <w:bCs/>
          <w:rtl/>
        </w:rPr>
        <w:t>כללי</w:t>
      </w:r>
      <w:r>
        <w:rPr>
          <w:rFonts w:ascii="David" w:hAnsi="David"/>
          <w:rtl/>
        </w:rPr>
        <w:t xml:space="preserve">. המומחית מטעם ביהמ"ש קמא לא ציינה כי במקרה דנן חומרי הגלם שבידיה שלא מצאו את ביטויים בחווה"ד שניתנה כוללים חומרים אינטימיים של המשיבה דווקא שחשיפתם עלולה לשמש לפגיעה אנושה בחיי המשיבה בגלל קווי האישיות של המבקש שאותן מתארת המשיבה בבקשת רשות הערעור וכפי שלטענתה אף אובחנו ע"י המומחית.  אציין כי כשם שההתייחסות של המומחית מטעם ביהמ"ש קמא למסירת החומרים ניתנה במישור הכללי גם ההתנגדות של המשיבה למסירת החומרים ניתנה באופן כללי. המשיבה לא טענה, לדוגמא, כי במסגרת המידע שמסרה למומחית נכללים פרטים אינטימיים שאותם בחרה לנדב ולמסור למרות שאינם רלוונטים לבדיקה (כמו לדוגמא מחלה שחלילה חלתה בה או דברים שקשורים לבתה הנוספת שאינה ילדה משותפת לצדדים) , כי פרטים אלו לא פורטו בחווה"ד וכי לאור היעדר הרלוונטיות שלהם היא מבקשת שאזכורם מתוך אותם חומרי הגלם יוסר. במקרה כזה ניתן היה בהחלט לסבור כי זכותה לפרטיות מפני חשיפת אותם פרטים ספציפיים גוברת על זכותו הדיונית של המבקש כבעל דין להביא לכך שהמומחית מטעמו להם על מנת שתוכל לבחון את מסקנותיה של המומחית מטעם ביהמ"ש קמא ולסייע למבקש להיערך לחקירתה. המשיבה  אינה מבקשת לחסות </w:t>
      </w:r>
      <w:r>
        <w:rPr>
          <w:rFonts w:ascii="David" w:hAnsi="David"/>
          <w:b/>
          <w:bCs/>
          <w:rtl/>
        </w:rPr>
        <w:t>חלק</w:t>
      </w:r>
      <w:r>
        <w:rPr>
          <w:rFonts w:ascii="David" w:hAnsi="David"/>
          <w:rtl/>
        </w:rPr>
        <w:t xml:space="preserve"> מהפרטים שאולי מצויים בחומר הגלם אלא למנוע את מסירת חומר הגלם </w:t>
      </w:r>
      <w:r>
        <w:rPr>
          <w:rFonts w:ascii="David" w:hAnsi="David"/>
          <w:b/>
          <w:bCs/>
          <w:rtl/>
        </w:rPr>
        <w:t>בכללותו</w:t>
      </w:r>
      <w:r>
        <w:rPr>
          <w:rFonts w:ascii="David" w:hAnsi="David"/>
          <w:rtl/>
        </w:rPr>
        <w:t xml:space="preserve">. המבקש מנגד </w:t>
      </w:r>
      <w:r>
        <w:rPr>
          <w:rFonts w:ascii="David" w:hAnsi="David"/>
          <w:b/>
          <w:bCs/>
          <w:rtl/>
        </w:rPr>
        <w:t>אינו</w:t>
      </w:r>
      <w:r>
        <w:rPr>
          <w:rFonts w:ascii="David" w:hAnsi="David"/>
          <w:rtl/>
        </w:rPr>
        <w:t xml:space="preserve"> יכול להצביע על הפרטים שיכול והמומחית מטעמו תמצא כרלוונטים לנשוא המחלוקת שנמצאו בחומר הגלם ולא זכו לביטוי בחווה"ד ועל כן לא ניתן לצפות ממנו לצמצם את דרישתו בעניין. רק לשם הדוגמא, אם במסגרת האבחון שנערך למשיבה זו מסרה כי היא נוהגת להירגע בעזרת עישון סמים מדי יום ודברים צוינו במסגרת נייר עבודה שערכה המומחית אך  לא באו לידי ביטוי במסגרת חווה"ד בעניין מסוגלותה ההורית, כיצד יוכל המבקש לדעת זאת מראש? בנסיבות אלו סבורני כי זכותו הדיונית של המבקש גוברת על זכותה של המשיבה לפרטיות.</w:t>
      </w:r>
    </w:p>
    <w:p w:rsidR="004E76EA" w:rsidRDefault="004E76EA" w:rsidP="004E76EA">
      <w:pPr>
        <w:spacing w:line="360" w:lineRule="auto"/>
        <w:jc w:val="both"/>
        <w:rPr>
          <w:rFonts w:ascii="David" w:hAnsi="David"/>
          <w:rtl/>
        </w:rPr>
      </w:pPr>
    </w:p>
    <w:p w:rsidR="004E76EA" w:rsidRDefault="004E76EA" w:rsidP="004E76EA">
      <w:pPr>
        <w:spacing w:line="360" w:lineRule="auto"/>
        <w:jc w:val="both"/>
        <w:rPr>
          <w:rFonts w:ascii="David" w:hAnsi="David"/>
          <w:rtl/>
        </w:rPr>
      </w:pPr>
      <w:r>
        <w:rPr>
          <w:rFonts w:ascii="David" w:hAnsi="David"/>
          <w:rtl/>
        </w:rPr>
        <w:t>מכאן נפנה לנימוק השני שהביא ביהמ"ש קמא לדחיית בקשת המבקש – החשש כי למרות שחומר הגלם יימסר מהמומחית מטעם ביהמ"ש למומחית מטעם המבקש עדיין ייחשף המבקש לאותם חומרים. במסגרת ההליך שהתנהל בעמ"ש (מחוזי ירושלים) 47268-04-13 פלוני נ' פלוני (פורסם בנבו 16.9.13) השיגה המערערת שם בין השאר על החלטת הערכאה הדיונית (ביהמ"ש לענייני משפחה בירושלים) שלא להיעתר לבקשתה למסירת חומר הגלם ששימש את המומחית מטעם ביהמ"ש ( בדומה לענייננו -פסיכולוגית שמונתה לצורך אבחון מסוגלות הורית) לבא כוחה או לפסיכולוג מטעמה, שלא היה פסיכולוג קליני. ביהמ"ש המחוזי דחה את ערעורה בהקשר זה, בין השאר תוך ציון הדברים הבאים:</w:t>
      </w:r>
    </w:p>
    <w:p w:rsidR="004E76EA" w:rsidRDefault="004E76EA" w:rsidP="004E76EA">
      <w:pPr>
        <w:spacing w:line="360" w:lineRule="auto"/>
        <w:jc w:val="both"/>
        <w:rPr>
          <w:rFonts w:ascii="David" w:hAnsi="David"/>
          <w:rtl/>
        </w:rPr>
      </w:pPr>
    </w:p>
    <w:p w:rsidR="004E76EA" w:rsidRDefault="004E76EA" w:rsidP="004E76EA">
      <w:pPr>
        <w:spacing w:line="360" w:lineRule="auto"/>
        <w:jc w:val="both"/>
        <w:rPr>
          <w:rFonts w:ascii="David" w:hAnsi="David"/>
          <w:b/>
          <w:bCs/>
          <w:rtl/>
        </w:rPr>
      </w:pPr>
      <w:r>
        <w:rPr>
          <w:rFonts w:ascii="David" w:hAnsi="David"/>
          <w:b/>
          <w:bCs/>
          <w:rtl/>
        </w:rPr>
        <w:lastRenderedPageBreak/>
        <w:t>"אמנם ברגיל עומדת לבעלי הדין הזכות לעיין בניירות העבודה ובמסד הנתונים ששימשו את המומחה לצורך הכנת חוות דעתו (ע"א 8954/06 ווקף מוחמד ואברהים עבדלרבו מעו נ' האפוטרופוס הכללי, [פורסם בנבו] מיום 26.9.10, פסקה 104; ע"א 3079/08 מדינת ישראל נ' הקדש קרן עזרה ע"ש יעקב הייטנר, [פורסם בנבו] מיום 4.7.12, פסקה 31; י' קדמי, על הראיות (חלק שני, 2009) עמ' 778). אולם זכות זו, כמו זכויות דיוניות רבות אחרות, אינה מוחלטת, ופעמים שהיא נדחית מפני אינטרסים חשובים אחרים הראויים להגנה (השוו י' עמית, "קבילות, סודיות, חיסיון ואינטרסים   מוגנים בהליכי גילוי במשפט האזרחי – ניסיון להשלטת סדר" ספר אורי קיטאי (תשס"ח) 247; א' גורן, סוגיות בסדר דין אזרחי (מהדורה עשירית, תשס"ט) 198; רע"א 2534/02 שמשון נ' בנק הפועלים בע"מ, פ"ד נו(5) 193, 196-195). כאלה הם הסטנדרטים המקצועיים להם כפוף המומחה, העשויים להתוות את הדרך ולהטיל מגבלות בנוגע למסירת חומרי גלם המשמשים אותו בעבודתו. המומחית הציגה בפני בית המשפט סטנדרטים שנתפרסמו על ידי ועדת האתיקה של הסתדרות הפסיכולוגים בישראל ומועצת הפסיכולוגים במשרד הבריאות בנוגע להגשת חוות דעת פסיכולוגיות לבתי המשפט. על פי האמור במסמך, "הסטנדרטים חוברו על ידי ועדה שמונתה ע"י מועצת הפסיכולוגים, ועדת אתיקה והוועד המרכזי של הסתדרות הפסיכולוגים לשם ניסוח סטנדרטים לכתיבת חוות דעת פסיכולוגית עבור בית המשפט... הסטנדרטים אומצו על ידי מועצת הפסיכולוגים, הוועד המרכזי של הסתדרות הפסיכולוגים וועדת אתיקה של הסתדרות הפסיכולוגים ב-2008". מועצת הפסיכולוגים הנה גוף רשמי האוחז על פי חוק הפסיכולוגים (סעיף 48) בשורה של סמכויות, ובכלל זה ייעוץ לשר הבריאות בכל עניין הנוגע לעיסוק בפסיכולוגיה בישראל. הסתדרות הפסיכולוגים אף היא בעלת מעמד מוכר בחוק הפסיכולוגים (סעיף 47</w:t>
      </w:r>
      <w:r>
        <w:rPr>
          <w:rFonts w:ascii="David" w:hAnsi="David"/>
          <w:b/>
          <w:bCs/>
        </w:rPr>
        <w:t>(4)</w:t>
      </w:r>
      <w:r>
        <w:rPr>
          <w:rFonts w:ascii="David" w:hAnsi="David"/>
          <w:b/>
          <w:bCs/>
          <w:rtl/>
        </w:rPr>
        <w:t>). ככאלה, נודע משקל של ממש לכללים הנקבעים על ידי המועצה וההסתדרות. בהקשר הנדון, נקבע בכללים כי "יש לשמור על חסיון המבחנים הפסיכולוגיים. על הפסיכולוג להימנע מחשיפה של מבחנים ו/או שאלונים פסיכולוגיים, אשר עלולה לפגוע ביעילות השימוש בהם בהמשך. פסיכולוג שנדרש – עפ"י החלטת ביהמ"ש – למסור את החומר הגולמי של מבחנים או שאלונים פסיכולוגיים – יעשה זאת ישירות לעמיתו למקצוע, ולא באמצעות עורכי-הדין או אחרים, זאת בהתאם לכללי האתיקה של הפ"י". האינטרס אותו מבקשת הוראה זו לקדם – שמירה על יעילות המבחנים הפסיכולוגיים במקרים עתידיים – הנו צורך לגיטימי הראוי להגנה, במיוחד בשים לב לזהות הגופים שקבעו את ההוראה ולהיותה נגזרת מהקוד האתי של הסתדרות הפסיכולוגים</w:t>
      </w:r>
      <w:r>
        <w:rPr>
          <w:rFonts w:ascii="David" w:hAnsi="David"/>
          <w:b/>
          <w:bCs/>
        </w:rPr>
        <w:t xml:space="preserve"> (</w:t>
      </w:r>
      <w:r>
        <w:rPr>
          <w:rFonts w:ascii="David" w:hAnsi="David"/>
          <w:b/>
          <w:bCs/>
          <w:rtl/>
        </w:rPr>
        <w:t>סעיף 7.5 לקוד האתיקה המקצועית של הפסיכולוגים בישראל – 2004</w:t>
      </w:r>
      <w:r>
        <w:rPr>
          <w:rFonts w:ascii="David" w:hAnsi="David"/>
          <w:b/>
          <w:bCs/>
        </w:rPr>
        <w:t xml:space="preserve">; http://www.psychology.org.il). </w:t>
      </w:r>
      <w:r>
        <w:rPr>
          <w:rFonts w:ascii="David" w:hAnsi="David"/>
          <w:b/>
          <w:bCs/>
          <w:rtl/>
        </w:rPr>
        <w:t xml:space="preserve">ממילא רשאי בית המשפט להתנות את מסירת חומרי הגלם בכך שהמסירה תבוצע למומחה בעל כשירות מקבילה למומחה שהגיש את חוות הדעת, ובמקרה שבפנינו – פסיכולוג קליני (להבדל בין תחומי המומחיות השונים בפסיכולוגיה, וההשכלה והניסיון השונים הנדרשים לכל תחום, ראו תקנות הפסיכולוגים (אישור תואר מומחה), תשל"ט-1979). פתרון זה שומר על איזון ראוי בין שני האינטרסים הנוגדים העומדים על הפרק: מצד אחד, זכותו של בעל הדין שחוות הדעת הפסיכולוגית נוגעת אליו לבקר אותה באמצעות מומחה מטעמו; מצד שני, דאגתה של קהילת הפסיכולוגים לשמירה על אמינות המבחנים המשמשים את העוסקים במקצוע. כך הוא לגבי כל פסיכולוג המגיש חוות דעת מומחה לבית </w:t>
      </w:r>
      <w:r>
        <w:rPr>
          <w:rFonts w:ascii="David" w:hAnsi="David"/>
          <w:b/>
          <w:bCs/>
          <w:rtl/>
        </w:rPr>
        <w:lastRenderedPageBreak/>
        <w:t>המשפט, וכך הוא ביתר שאת לגבי פסיכולוג המגיש את חוות דעתו לבית המשפט לענייני משפחה, הנהנה מגמישות מיוחדת בעניינים פרוצדורליים עד כדי רשות לנהוג "בכל ענין של דיני ראיות וסדרי דין, שאין עליו הוראה אחרת, לפי חוק זה... בדרך הנראית לו הטובה ביותר לעשיית משפט צדק" (סעיף 8(א) לחוק בית המשפט לענייני משפחה). בנדון דידן, תקנות סדר הדין אינן מקנות זכות מפורשת לקבלת חומרי הגלם, כך שהוראת סעיף 8(א) לחוק ישימה</w:t>
      </w:r>
      <w:r>
        <w:rPr>
          <w:rFonts w:ascii="David" w:hAnsi="David"/>
          <w:b/>
          <w:bCs/>
        </w:rPr>
        <w:t>."</w:t>
      </w:r>
      <w:r>
        <w:rPr>
          <w:rFonts w:ascii="David" w:hAnsi="David"/>
          <w:b/>
          <w:bCs/>
          <w:rtl/>
        </w:rPr>
        <w:t xml:space="preserve"> "</w:t>
      </w:r>
    </w:p>
    <w:p w:rsidR="004E76EA" w:rsidRDefault="004E76EA" w:rsidP="004E76EA">
      <w:pPr>
        <w:spacing w:line="360" w:lineRule="auto"/>
        <w:jc w:val="both"/>
        <w:rPr>
          <w:rFonts w:ascii="David" w:hAnsi="David"/>
          <w:rtl/>
        </w:rPr>
      </w:pPr>
    </w:p>
    <w:p w:rsidR="004E76EA" w:rsidRDefault="004E76EA" w:rsidP="00F6530F">
      <w:pPr>
        <w:spacing w:line="360" w:lineRule="auto"/>
        <w:jc w:val="both"/>
        <w:rPr>
          <w:rFonts w:ascii="David" w:hAnsi="David"/>
          <w:rtl/>
        </w:rPr>
      </w:pPr>
      <w:r>
        <w:rPr>
          <w:rFonts w:ascii="David" w:hAnsi="David"/>
          <w:rtl/>
        </w:rPr>
        <w:t>הדברים יפים גם לענייננו.  איני סבור כי בימ"ש זה (או ביהמ"ש קמא לעת שנתן את החלטתו) צריך היה לשקול במסגרת שיקוליו את החשש כי חומרי הגלם שתקבל הפסיכולוגית מטעם המבקש (חשש שיצוין כי לא כיוון באופן ספציפי דווקא לפסיכולוגית שנבחרה ע"י המבקש) יזלגו למבקש, כל עוד אין כל דרישה כי חומרי הגלם יועברו בניגוד לסטנדרטיים האתיים המחייבים את המומחה מטעם ביהמ"ש אלא בכפוף להם.  לא ביהמ"ש קמא ולא בימ"ש זה אמונים על כתיבת כללי האתיקה לפסיכולוגים או אכיפתם במקרה שבו הכפוף להם לא עמד בהם. המבקש במקרה דנן לא ביקש מעולם לקבל את חומרי הגלם לידיו או לידי בא כוחו אלא ביקש כי אלו יועברו ישירות לפסיכולוגית מטעמו שאת פרטיה והכשרתה חשף במסגרת בקשתו. אף אחד מהגורמים שהגישו תשובתם לבקשת המבקש ( המומחית מטעם ביהמ"ש, המשיבה או האפוט' לדין) לא טען כי קיימת מניעה בהתאם לקוד האתיקה של הפסיכולוגים בישראל למסירת חומרי הגלם ישירות לידי המומחית מטעם המבקש (פסיכולוגית קלינית בהכשרתה), באופן לו עתר המבקש. לראשונה בבקשת רשות הערעור שלפניי מטילה ב"כ המשיבה, בלשון רפה, דופי מסוים ביושרה של המומחית מטעם המבקש (בס' 32-34 לתשובה). משהדברי</w:t>
      </w:r>
      <w:r w:rsidR="00F6530F">
        <w:rPr>
          <w:rFonts w:ascii="David" w:hAnsi="David"/>
          <w:rtl/>
        </w:rPr>
        <w:t>ם נטענו לראשונה בהליך זה שלפניי</w:t>
      </w:r>
      <w:r w:rsidR="00F6530F">
        <w:rPr>
          <w:rFonts w:ascii="David" w:hAnsi="David" w:hint="cs"/>
          <w:rtl/>
        </w:rPr>
        <w:t xml:space="preserve">, </w:t>
      </w:r>
      <w:r>
        <w:rPr>
          <w:rFonts w:ascii="David" w:hAnsi="David"/>
          <w:rtl/>
        </w:rPr>
        <w:t>לא מצאתי את הדברים ראויים להתייחסות.</w:t>
      </w:r>
    </w:p>
    <w:p w:rsidR="004E76EA" w:rsidRDefault="004E76EA" w:rsidP="004E76EA">
      <w:pPr>
        <w:spacing w:line="360" w:lineRule="auto"/>
        <w:jc w:val="both"/>
        <w:rPr>
          <w:rFonts w:ascii="David" w:hAnsi="David"/>
          <w:rtl/>
        </w:rPr>
      </w:pPr>
    </w:p>
    <w:p w:rsidR="004E76EA" w:rsidRDefault="004E76EA" w:rsidP="004E76EA">
      <w:pPr>
        <w:spacing w:line="360" w:lineRule="auto"/>
        <w:jc w:val="both"/>
        <w:rPr>
          <w:rFonts w:ascii="David" w:hAnsi="David"/>
          <w:rtl/>
        </w:rPr>
      </w:pPr>
      <w:r>
        <w:rPr>
          <w:rFonts w:ascii="David" w:hAnsi="David"/>
          <w:rtl/>
        </w:rPr>
        <w:t>לאור כל האמור לעיל, אני מחליט לקבל את הערעור באופן חלקי כך שהסעד שהתבקש בס' 2 לבקשתו המקורית של המבקש  שהייתה לפני ביהמ"ש קמא (נספח א' לבר"ע) מתקבל והחומרים יועברו מהמומחית מטעם ביהמ"ש .  הסעד לו עותר המבקש בבקשת רשות הערעור שלפניי הוא רחב יותר ( המבקש עותר לקבל כל ההקלטות שלהם בעת הבדיקות ובעת השהות בחדרי ההמתנה) ואיני נעתר לו (משלא התבקש מהערכאה הדיונית) אלא אך להיקף החומר שהתבקש בס' 2 לבקשה המקורית (הגם שיכול ויכלול גם הקלטות כלשהן של בדיקות ככל שההקלטות שימשו  את המומחית מטעם ביהמ"ש לצורך עריכת חווה"ד).</w:t>
      </w:r>
    </w:p>
    <w:p w:rsidR="004E76EA" w:rsidRDefault="004E76EA" w:rsidP="004E76EA">
      <w:pPr>
        <w:spacing w:line="360" w:lineRule="auto"/>
        <w:jc w:val="both"/>
        <w:rPr>
          <w:rFonts w:ascii="David" w:hAnsi="David"/>
          <w:rtl/>
        </w:rPr>
      </w:pPr>
    </w:p>
    <w:p w:rsidR="004E76EA" w:rsidRDefault="004E76EA" w:rsidP="004E76EA">
      <w:pPr>
        <w:spacing w:line="360" w:lineRule="auto"/>
        <w:jc w:val="both"/>
        <w:rPr>
          <w:rFonts w:ascii="David" w:hAnsi="David"/>
          <w:rtl/>
        </w:rPr>
      </w:pPr>
      <w:r>
        <w:rPr>
          <w:rFonts w:ascii="David" w:hAnsi="David"/>
          <w:rtl/>
        </w:rPr>
        <w:t>חומרי הגלם יועברו  ע"י המומחית מטעם ביהמ"ש קמא בהתאם לכללי האתיקה החלים עליה. במסגרת תשובתה לביהמ"ש קמא ציינה המומחית כי אחד מאותם תנאים הוא שהנבדקים יחתמו על ןיתור סודיות כלפי המומחית מטעם המבקש שתקבל את החומר וכי "</w:t>
      </w:r>
      <w:r>
        <w:rPr>
          <w:rFonts w:ascii="David" w:hAnsi="David"/>
          <w:b/>
          <w:bCs/>
          <w:rtl/>
        </w:rPr>
        <w:t>אם יסרב מי מהצדדים לחתום על ויתור סודיות כאמור, נבקש החלטה שיפוטית בנוגע להע</w:t>
      </w:r>
      <w:r w:rsidR="00D5484D">
        <w:rPr>
          <w:rFonts w:ascii="David" w:hAnsi="David" w:hint="cs"/>
          <w:b/>
          <w:bCs/>
          <w:rtl/>
        </w:rPr>
        <w:t>ב</w:t>
      </w:r>
      <w:r>
        <w:rPr>
          <w:rFonts w:ascii="David" w:hAnsi="David"/>
          <w:b/>
          <w:bCs/>
          <w:rtl/>
        </w:rPr>
        <w:t xml:space="preserve">רת החומרים, שכן איננו יכולים להעביר חומרים ללא הסכמת הנבדק".  </w:t>
      </w:r>
      <w:r>
        <w:rPr>
          <w:rFonts w:ascii="David" w:hAnsi="David"/>
          <w:rtl/>
        </w:rPr>
        <w:t xml:space="preserve">בבקשת רשות הערעור שלפניי המבקש לא טען כי דרישה זו של המומחית מטעם ביהמ"ש קמא אינה מעוגנת בכללי האתיקה ולפיכך אין לי אלא לכבדה. בכל הנוגע לחומרי הגלם הנוגעים למשיבה יש לראות החלטתי זו (לאור תוכנה ומשדנתי במסגרתה בהשגות </w:t>
      </w:r>
      <w:r>
        <w:rPr>
          <w:rFonts w:ascii="David" w:hAnsi="David"/>
          <w:rtl/>
        </w:rPr>
        <w:lastRenderedPageBreak/>
        <w:t xml:space="preserve">המשיבה כלפי חשיפת החומרים) כהחלטה שיפוטית המתירה למומחית מטעם ביהמ"ש להעביר את החומרים גם מקום בו המשיבה </w:t>
      </w:r>
      <w:r>
        <w:rPr>
          <w:rFonts w:ascii="David" w:hAnsi="David"/>
          <w:b/>
          <w:bCs/>
          <w:rtl/>
        </w:rPr>
        <w:t>לא</w:t>
      </w:r>
      <w:r>
        <w:rPr>
          <w:rFonts w:ascii="David" w:hAnsi="David"/>
          <w:rtl/>
        </w:rPr>
        <w:t xml:space="preserve"> תחתום על ויתור סודיות כלפיה. בכל הנוגע לחומרי הגלם הנוגעים לאחרים: אחותו של המבקש, אמה של המשיבה או הדוד – אלו יועברו ע"י המומחית בכפוף לחתימת אותם צדדים</w:t>
      </w:r>
      <w:r>
        <w:rPr>
          <w:rFonts w:ascii="David" w:hAnsi="David" w:hint="cs"/>
          <w:rtl/>
        </w:rPr>
        <w:t xml:space="preserve"> (ובמקרה של הדוד </w:t>
      </w:r>
      <w:r>
        <w:rPr>
          <w:rFonts w:ascii="David" w:hAnsi="David"/>
          <w:rtl/>
        </w:rPr>
        <w:t>–</w:t>
      </w:r>
      <w:r>
        <w:rPr>
          <w:rFonts w:ascii="David" w:hAnsi="David" w:hint="cs"/>
          <w:rtl/>
        </w:rPr>
        <w:t xml:space="preserve"> האפוטרופוס שמונה לו)</w:t>
      </w:r>
      <w:r>
        <w:rPr>
          <w:rFonts w:ascii="David" w:hAnsi="David"/>
          <w:rtl/>
        </w:rPr>
        <w:t xml:space="preserve"> על ויתור סודיות. החלטתי זו לא יכולה להחליף את הסכמתם משעמדתם של אותם צדדים לא התבקשה במסגרת ההליך שהתנהל בביהמ"ש קמא </w:t>
      </w:r>
      <w:r>
        <w:rPr>
          <w:rFonts w:ascii="David" w:hAnsi="David" w:hint="cs"/>
          <w:rtl/>
        </w:rPr>
        <w:t xml:space="preserve">ולא הובאה בהליך </w:t>
      </w:r>
      <w:r>
        <w:rPr>
          <w:rFonts w:ascii="David" w:hAnsi="David"/>
          <w:rtl/>
        </w:rPr>
        <w:t>זה שלפניי.</w:t>
      </w:r>
    </w:p>
    <w:p w:rsidR="004E76EA" w:rsidRDefault="004E76EA" w:rsidP="004E76EA">
      <w:pPr>
        <w:spacing w:line="360" w:lineRule="auto"/>
        <w:jc w:val="both"/>
        <w:rPr>
          <w:rFonts w:ascii="David" w:hAnsi="David"/>
          <w:rtl/>
        </w:rPr>
      </w:pPr>
    </w:p>
    <w:p w:rsidR="004E76EA" w:rsidRDefault="004E76EA" w:rsidP="004E76EA">
      <w:pPr>
        <w:spacing w:line="360" w:lineRule="auto"/>
        <w:jc w:val="both"/>
        <w:rPr>
          <w:rFonts w:ascii="David" w:hAnsi="David"/>
          <w:b/>
          <w:bCs/>
          <w:u w:val="single"/>
          <w:rtl/>
        </w:rPr>
      </w:pPr>
      <w:r>
        <w:rPr>
          <w:rFonts w:ascii="David" w:hAnsi="David"/>
          <w:b/>
          <w:bCs/>
          <w:u w:val="single"/>
          <w:rtl/>
        </w:rPr>
        <w:t>סוף דבר</w:t>
      </w:r>
    </w:p>
    <w:p w:rsidR="004E76EA" w:rsidRDefault="004E76EA" w:rsidP="004E76EA">
      <w:pPr>
        <w:spacing w:line="360" w:lineRule="auto"/>
        <w:jc w:val="both"/>
        <w:rPr>
          <w:rFonts w:ascii="David" w:hAnsi="David"/>
          <w:rtl/>
        </w:rPr>
      </w:pPr>
    </w:p>
    <w:p w:rsidR="004E76EA" w:rsidRDefault="004E76EA" w:rsidP="004E76EA">
      <w:pPr>
        <w:spacing w:line="360" w:lineRule="auto"/>
        <w:jc w:val="both"/>
        <w:rPr>
          <w:rFonts w:ascii="David" w:hAnsi="David"/>
          <w:rtl/>
        </w:rPr>
      </w:pPr>
      <w:r>
        <w:rPr>
          <w:rFonts w:ascii="David" w:hAnsi="David"/>
          <w:rtl/>
        </w:rPr>
        <w:t>הערעור מתקבל באופן חלקי, כמפורט לעיל.</w:t>
      </w:r>
    </w:p>
    <w:p w:rsidR="004E76EA" w:rsidRDefault="004E76EA" w:rsidP="004E76EA">
      <w:pPr>
        <w:spacing w:line="360" w:lineRule="auto"/>
        <w:jc w:val="both"/>
        <w:rPr>
          <w:rFonts w:ascii="David" w:hAnsi="David"/>
          <w:rtl/>
        </w:rPr>
      </w:pPr>
    </w:p>
    <w:p w:rsidR="004E76EA" w:rsidRDefault="004E76EA" w:rsidP="004E76EA">
      <w:pPr>
        <w:spacing w:line="360" w:lineRule="auto"/>
        <w:jc w:val="both"/>
        <w:rPr>
          <w:rFonts w:ascii="David" w:hAnsi="David"/>
          <w:rtl/>
        </w:rPr>
      </w:pPr>
      <w:r>
        <w:rPr>
          <w:rFonts w:ascii="David" w:hAnsi="David"/>
          <w:rtl/>
        </w:rPr>
        <w:t>לאור התוצאה, המשיבה תישא בהוצאות המבקש ושכ"ט בא כוחו בסך של 2,500 ₪.</w:t>
      </w:r>
    </w:p>
    <w:p w:rsidR="004E76EA" w:rsidRDefault="004E76EA" w:rsidP="004E76EA">
      <w:pPr>
        <w:spacing w:line="360" w:lineRule="auto"/>
        <w:jc w:val="both"/>
        <w:rPr>
          <w:rFonts w:ascii="David" w:hAnsi="David"/>
          <w:rtl/>
        </w:rPr>
      </w:pPr>
    </w:p>
    <w:p w:rsidR="004E76EA" w:rsidRDefault="004E76EA" w:rsidP="004E76EA">
      <w:pPr>
        <w:spacing w:line="360" w:lineRule="auto"/>
        <w:jc w:val="both"/>
        <w:rPr>
          <w:rFonts w:ascii="David" w:hAnsi="David"/>
          <w:rtl/>
        </w:rPr>
      </w:pPr>
      <w:r>
        <w:rPr>
          <w:rFonts w:ascii="David" w:hAnsi="David"/>
          <w:rtl/>
        </w:rPr>
        <w:t>העירבון, על פירותיו, יוחזר למבקש באמצעות בא כוחו.</w:t>
      </w:r>
    </w:p>
    <w:p w:rsidR="004E76EA" w:rsidRDefault="004E76EA" w:rsidP="004E76EA">
      <w:pPr>
        <w:spacing w:line="360" w:lineRule="auto"/>
        <w:jc w:val="both"/>
        <w:rPr>
          <w:rFonts w:ascii="David" w:hAnsi="David"/>
          <w:rtl/>
        </w:rPr>
      </w:pPr>
    </w:p>
    <w:p w:rsidR="004E76EA" w:rsidRDefault="004E76EA" w:rsidP="004E76EA">
      <w:pPr>
        <w:spacing w:line="360" w:lineRule="auto"/>
        <w:jc w:val="both"/>
        <w:rPr>
          <w:rFonts w:ascii="David" w:hAnsi="David"/>
          <w:rtl/>
        </w:rPr>
      </w:pPr>
      <w:r>
        <w:rPr>
          <w:rFonts w:ascii="David" w:hAnsi="David"/>
          <w:rtl/>
        </w:rPr>
        <w:t>מתיר פרסום פסה"ד במתכונת בה נחתם, בהיעדר שמות הצדדים ופרטים מזהים אחרים.</w:t>
      </w:r>
    </w:p>
    <w:p w:rsidR="00694556"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235735686"/>
          <w:text w:multiLine="1"/>
        </w:sdtPr>
        <w:sdtEndPr/>
        <w:sdtContent>
          <w:r>
            <w:rPr>
              <w:rFonts w:ascii="Arial" w:hAnsi="Arial"/>
              <w:noProof w:val="0"/>
              <w:rtl/>
            </w:rPr>
            <w:t>כ"ו אב תשפ"ג</w:t>
          </w:r>
        </w:sdtContent>
      </w:sdt>
      <w:r w:rsidR="00005C8B">
        <w:rPr>
          <w:rFonts w:ascii="Arial" w:hAnsi="Arial"/>
          <w:noProof w:val="0"/>
          <w:rtl/>
        </w:rPr>
        <w:t xml:space="preserve">, </w:t>
      </w:r>
      <w:sdt>
        <w:sdtPr>
          <w:rPr>
            <w:rtl/>
          </w:rPr>
          <w:alias w:val="1456"/>
          <w:tag w:val="1456"/>
          <w:id w:val="2052102366"/>
          <w:text w:multiLine="1"/>
        </w:sdtPr>
        <w:sdtEndPr/>
        <w:sdtContent>
          <w:r>
            <w:rPr>
              <w:rFonts w:ascii="Arial" w:hAnsi="Arial"/>
              <w:noProof w:val="0"/>
              <w:rtl/>
            </w:rPr>
            <w:t>13 אוגוסט 2023</w:t>
          </w:r>
        </w:sdtContent>
      </w:sdt>
      <w:r w:rsidR="00005C8B">
        <w:rPr>
          <w:rFonts w:ascii="Arial" w:hAnsi="Arial"/>
          <w:noProof w:val="0"/>
          <w:rtl/>
        </w:rPr>
        <w:t>, בהעדר הצדדים.</w:t>
      </w:r>
    </w:p>
    <w:p w:rsidR="00694556" w:rsidRDefault="00694556">
      <w:pPr>
        <w:spacing w:line="360" w:lineRule="auto"/>
        <w:jc w:val="both"/>
        <w:rPr>
          <w:rFonts w:ascii="Arial" w:hAnsi="Arial"/>
          <w:noProof w:val="0"/>
          <w:rtl/>
        </w:rPr>
      </w:pPr>
    </w:p>
    <w:p w:rsidR="00694556" w:rsidRDefault="000B0DA9">
      <w:pPr>
        <w:spacing w:line="360" w:lineRule="auto"/>
        <w:ind w:left="3600" w:firstLine="720"/>
        <w:jc w:val="both"/>
      </w:pPr>
      <w:sdt>
        <w:sdtPr>
          <w:rPr>
            <w:rtl/>
          </w:rPr>
          <w:alias w:val="MergeField"/>
          <w:tag w:val="1237"/>
          <w:id w:val="-1149051436"/>
        </w:sdtPr>
        <w:sdtEndPr/>
        <w:sdtContent>
          <w:r w:rsidR="00A60C42">
            <w:drawing>
              <wp:inline distT="0" distB="0" distL="0" distR="0" wp14:editId="50D07946">
                <wp:extent cx="1755648" cy="44348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755648" cy="443484"/>
                        </a:xfrm>
                        <a:prstGeom prst="rect">
                          <a:avLst/>
                        </a:prstGeom>
                      </pic:spPr>
                    </pic:pic>
                  </a:graphicData>
                </a:graphic>
              </wp:inline>
            </w:drawing>
          </w:r>
        </w:sdtContent>
      </w:sdt>
    </w:p>
    <w:p w:rsidR="00694556" w:rsidRDefault="00694556">
      <w:pPr>
        <w:spacing w:line="360" w:lineRule="auto"/>
        <w:ind w:left="3600" w:firstLine="720"/>
        <w:jc w:val="both"/>
        <w:rPr>
          <w:rFonts w:ascii="Arial" w:hAnsi="Arial"/>
          <w:noProof w:val="0"/>
          <w:rtl/>
        </w:rPr>
      </w:pPr>
    </w:p>
    <w:sectPr w:rsidR="00694556" w:rsidSect="00903896">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0DA9" w:rsidRDefault="000B0DA9">
      <w:r>
        <w:separator/>
      </w:r>
    </w:p>
  </w:endnote>
  <w:endnote w:type="continuationSeparator" w:id="0">
    <w:p w:rsidR="000B0DA9" w:rsidRDefault="000B0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688A" w:rsidRDefault="0030688A">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E05465">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1A612D">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1A612D">
      <w:rPr>
        <w:rStyle w:val="ab"/>
        <w:rtl/>
      </w:rPr>
      <w:t>8</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688A" w:rsidRDefault="0030688A">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0DA9" w:rsidRDefault="000B0DA9">
      <w:r>
        <w:separator/>
      </w:r>
    </w:p>
  </w:footnote>
  <w:footnote w:type="continuationSeparator" w:id="0">
    <w:p w:rsidR="000B0DA9" w:rsidRDefault="000B0D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688A" w:rsidRDefault="0030688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20333C">
    <w:pPr>
      <w:pStyle w:val="a3"/>
      <w:jc w:val="center"/>
      <w:rPr>
        <w:rFonts w:cs="FrankRuehl"/>
        <w:noProof w:val="0"/>
        <w:sz w:val="28"/>
        <w:szCs w:val="28"/>
        <w:rtl/>
      </w:rPr>
    </w:pPr>
    <w:r>
      <w:rPr>
        <w:rFonts w:cs="FrankRuehl"/>
        <w:sz w:val="28"/>
        <w:szCs w:val="28"/>
      </w:rPr>
      <w:drawing>
        <wp:inline distT="0" distB="0" distL="0" distR="0" wp14:anchorId="031BB381" wp14:editId="58C2146F">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9501" w:type="dxa"/>
      <w:jc w:val="center"/>
      <w:tblLook w:val="0000" w:firstRow="0" w:lastRow="0" w:firstColumn="0" w:lastColumn="0" w:noHBand="0" w:noVBand="0"/>
    </w:tblPr>
    <w:tblGrid>
      <w:gridCol w:w="5808"/>
      <w:gridCol w:w="3693"/>
    </w:tblGrid>
    <w:tr w:rsidR="00694556" w:rsidTr="00FB7194">
      <w:trPr>
        <w:trHeight w:hRule="exact" w:val="418"/>
        <w:jc w:val="center"/>
      </w:trPr>
      <w:sdt>
        <w:sdtPr>
          <w:rPr>
            <w:sz w:val="30"/>
            <w:szCs w:val="30"/>
            <w:rtl/>
          </w:rPr>
          <w:alias w:val="1174"/>
          <w:tag w:val="1174"/>
          <w:id w:val="460396125"/>
          <w:text/>
        </w:sdtPr>
        <w:sdtEndPr/>
        <w:sdtContent>
          <w:tc>
            <w:tcPr>
              <w:tcW w:w="9501" w:type="dxa"/>
              <w:gridSpan w:val="2"/>
            </w:tcPr>
            <w:p w:rsidR="00694556" w:rsidRPr="00A02D93" w:rsidRDefault="00005C8B">
              <w:pPr>
                <w:pStyle w:val="a3"/>
                <w:jc w:val="center"/>
                <w:rPr>
                  <w:rFonts w:ascii="Tahoma" w:hAnsi="Tahoma"/>
                  <w:noProof w:val="0"/>
                  <w:color w:val="000080"/>
                  <w:sz w:val="30"/>
                  <w:szCs w:val="30"/>
                  <w:rtl/>
                </w:rPr>
              </w:pPr>
              <w:r w:rsidRPr="00A02D93">
                <w:rPr>
                  <w:rFonts w:ascii="Tahoma" w:hAnsi="Tahoma"/>
                  <w:b/>
                  <w:bCs/>
                  <w:noProof w:val="0"/>
                  <w:color w:val="000080"/>
                  <w:sz w:val="30"/>
                  <w:szCs w:val="30"/>
                  <w:rtl/>
                </w:rPr>
                <w:t>בית המשפט המחוזי בתל אביב -יפו</w:t>
              </w:r>
            </w:p>
          </w:tc>
        </w:sdtContent>
      </w:sdt>
    </w:tr>
    <w:tr w:rsidR="00694556" w:rsidTr="00FB7194">
      <w:trPr>
        <w:trHeight w:val="337"/>
        <w:jc w:val="center"/>
      </w:trPr>
      <w:tc>
        <w:tcPr>
          <w:tcW w:w="5808" w:type="dxa"/>
        </w:tcPr>
        <w:p w:rsidR="00694556" w:rsidRDefault="00694556">
          <w:pPr>
            <w:rPr>
              <w:b/>
              <w:bCs/>
              <w:noProof w:val="0"/>
              <w:sz w:val="26"/>
              <w:szCs w:val="26"/>
              <w:rtl/>
            </w:rPr>
          </w:pPr>
        </w:p>
      </w:tc>
      <w:tc>
        <w:tcPr>
          <w:tcW w:w="3693" w:type="dxa"/>
        </w:tcPr>
        <w:p w:rsidR="00694556" w:rsidRDefault="00694556">
          <w:pPr>
            <w:pStyle w:val="a3"/>
            <w:jc w:val="right"/>
            <w:rPr>
              <w:b/>
              <w:bCs/>
              <w:noProof w:val="0"/>
              <w:sz w:val="26"/>
              <w:szCs w:val="26"/>
              <w:rtl/>
            </w:rPr>
          </w:pPr>
        </w:p>
      </w:tc>
    </w:tr>
    <w:tr w:rsidR="00694556" w:rsidTr="00FB7194">
      <w:trPr>
        <w:trHeight w:val="337"/>
        <w:jc w:val="center"/>
      </w:trPr>
      <w:tc>
        <w:tcPr>
          <w:tcW w:w="9501" w:type="dxa"/>
          <w:gridSpan w:val="2"/>
        </w:tcPr>
        <w:p w:rsidR="000002B3" w:rsidRDefault="000002B3">
          <w:pPr>
            <w:rPr>
              <w:rtl/>
            </w:rPr>
          </w:pPr>
        </w:p>
        <w:p w:rsidR="00694556" w:rsidRPr="009109C6" w:rsidRDefault="000B0DA9" w:rsidP="004E76EA">
          <w:pPr>
            <w:rPr>
              <w:b/>
              <w:bCs/>
              <w:noProof w:val="0"/>
              <w:sz w:val="26"/>
              <w:szCs w:val="26"/>
              <w:rtl/>
            </w:rPr>
          </w:pPr>
          <w:sdt>
            <w:sdtPr>
              <w:rPr>
                <w:rtl/>
              </w:rPr>
              <w:alias w:val="1170"/>
              <w:tag w:val="1170"/>
              <w:id w:val="1272976944"/>
              <w:text w:multiLine="1"/>
            </w:sdtPr>
            <w:sdtEndPr/>
            <w:sdtContent>
              <w:r w:rsidR="00FB7194">
                <w:rPr>
                  <w:b/>
                  <w:bCs/>
                  <w:noProof w:val="0"/>
                  <w:sz w:val="26"/>
                  <w:szCs w:val="26"/>
                  <w:rtl/>
                </w:rPr>
                <w:t>רמ"ש</w:t>
              </w:r>
            </w:sdtContent>
          </w:sdt>
          <w:r w:rsidR="00005C8B" w:rsidRPr="009109C6">
            <w:rPr>
              <w:b/>
              <w:bCs/>
              <w:noProof w:val="0"/>
              <w:sz w:val="26"/>
              <w:szCs w:val="26"/>
              <w:rtl/>
            </w:rPr>
            <w:t xml:space="preserve"> </w:t>
          </w:r>
          <w:bookmarkStart w:id="0" w:name="_GoBack"/>
          <w:sdt>
            <w:sdtPr>
              <w:rPr>
                <w:rtl/>
              </w:rPr>
              <w:alias w:val="1171"/>
              <w:tag w:val="1171"/>
              <w:id w:val="-1944829236"/>
              <w:text w:multiLine="1"/>
            </w:sdtPr>
            <w:sdtEndPr/>
            <w:sdtContent>
              <w:r w:rsidR="00FB7194">
                <w:rPr>
                  <w:b/>
                  <w:bCs/>
                  <w:noProof w:val="0"/>
                  <w:sz w:val="26"/>
                  <w:szCs w:val="26"/>
                  <w:rtl/>
                </w:rPr>
                <w:t>5105-07-23</w:t>
              </w:r>
            </w:sdtContent>
          </w:sdt>
          <w:bookmarkEnd w:id="0"/>
          <w:r w:rsidR="00005C8B" w:rsidRPr="009109C6">
            <w:rPr>
              <w:b/>
              <w:bCs/>
              <w:noProof w:val="0"/>
              <w:sz w:val="26"/>
              <w:szCs w:val="26"/>
              <w:rtl/>
            </w:rPr>
            <w:t xml:space="preserve"> </w:t>
          </w:r>
          <w:sdt>
            <w:sdtPr>
              <w:rPr>
                <w:rtl/>
              </w:rPr>
              <w:alias w:val="1172"/>
              <w:tag w:val="1172"/>
              <w:id w:val="-822969233"/>
              <w:text w:multiLine="1"/>
            </w:sdtPr>
            <w:sdtEndPr/>
            <w:sdtContent>
              <w:r w:rsidR="004E76EA">
                <w:rPr>
                  <w:rFonts w:hint="cs"/>
                  <w:b/>
                  <w:bCs/>
                  <w:noProof w:val="0"/>
                  <w:sz w:val="26"/>
                  <w:szCs w:val="26"/>
                  <w:rtl/>
                </w:rPr>
                <w:t>פלוני נ' אלמונית</w:t>
              </w:r>
            </w:sdtContent>
          </w:sdt>
          <w:r w:rsidR="009109C6">
            <w:rPr>
              <w:rFonts w:hint="cs"/>
              <w:b/>
              <w:bCs/>
              <w:noProof w:val="0"/>
              <w:sz w:val="26"/>
              <w:szCs w:val="26"/>
              <w:rtl/>
            </w:rPr>
            <w:t xml:space="preserve"> </w:t>
          </w:r>
          <w:r w:rsidR="004D0FA5">
            <w:rPr>
              <w:rFonts w:hint="cs"/>
              <w:b/>
              <w:bCs/>
              <w:noProof w:val="0"/>
              <w:sz w:val="26"/>
              <w:szCs w:val="26"/>
              <w:rtl/>
            </w:rPr>
            <w:t xml:space="preserve">           </w:t>
          </w:r>
          <w:r w:rsidR="00A02D93">
            <w:rPr>
              <w:rFonts w:hint="cs"/>
              <w:b/>
              <w:bCs/>
              <w:noProof w:val="0"/>
              <w:sz w:val="26"/>
              <w:szCs w:val="26"/>
              <w:rtl/>
            </w:rPr>
            <w:t xml:space="preserve">     </w:t>
          </w:r>
          <w:r w:rsidR="00912B5F">
            <w:rPr>
              <w:rFonts w:hint="cs"/>
              <w:b/>
              <w:bCs/>
              <w:noProof w:val="0"/>
              <w:sz w:val="26"/>
              <w:szCs w:val="26"/>
              <w:rtl/>
            </w:rPr>
            <w:t xml:space="preserve">       </w:t>
          </w:r>
          <w:r w:rsidR="00A02D93">
            <w:rPr>
              <w:rFonts w:hint="cs"/>
              <w:b/>
              <w:bCs/>
              <w:noProof w:val="0"/>
              <w:sz w:val="26"/>
              <w:szCs w:val="26"/>
              <w:rtl/>
            </w:rPr>
            <w:t xml:space="preserve">  </w:t>
          </w:r>
          <w:r w:rsidR="00FB7194">
            <w:rPr>
              <w:rFonts w:hint="cs"/>
              <w:b/>
              <w:bCs/>
              <w:noProof w:val="0"/>
              <w:sz w:val="26"/>
              <w:szCs w:val="26"/>
              <w:rtl/>
            </w:rPr>
            <w:t xml:space="preserve">     </w:t>
          </w:r>
          <w:r w:rsidR="00A02D93">
            <w:rPr>
              <w:rFonts w:hint="cs"/>
              <w:b/>
              <w:bCs/>
              <w:noProof w:val="0"/>
              <w:sz w:val="26"/>
              <w:szCs w:val="26"/>
              <w:rtl/>
            </w:rPr>
            <w:t xml:space="preserve"> </w:t>
          </w:r>
          <w:sdt>
            <w:sdtPr>
              <w:rPr>
                <w:rFonts w:hint="cs"/>
                <w:b/>
                <w:bCs/>
                <w:noProof w:val="0"/>
                <w:sz w:val="26"/>
                <w:szCs w:val="26"/>
                <w:rtl/>
              </w:rPr>
              <w:alias w:val="1192"/>
              <w:tag w:val="1192"/>
              <w:id w:val="393938774"/>
              <w:placeholder>
                <w:docPart w:val="0C7EB024E988478CBC55EA12A1694B53"/>
              </w:placeholder>
              <w:text w:multiLine="1"/>
            </w:sdtPr>
            <w:sdtEndPr/>
            <w:sdtContent>
              <w:r w:rsidR="00FB7194">
                <w:rPr>
                  <w:rFonts w:hint="eastAsia"/>
                  <w:b/>
                  <w:bCs/>
                  <w:noProof w:val="0"/>
                  <w:sz w:val="26"/>
                  <w:szCs w:val="26"/>
                  <w:rtl/>
                </w:rPr>
                <w:t>09 אוגוסט 2023</w:t>
              </w:r>
            </w:sdtContent>
          </w:sdt>
          <w:r w:rsidR="009109C6">
            <w:rPr>
              <w:b/>
              <w:bCs/>
              <w:noProof w:val="0"/>
              <w:sz w:val="26"/>
              <w:szCs w:val="26"/>
              <w:rtl/>
            </w:rPr>
            <w:t xml:space="preserve"> </w:t>
          </w:r>
        </w:p>
        <w:p w:rsidR="00694556" w:rsidRDefault="00694556">
          <w:pPr>
            <w:rPr>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688A" w:rsidRDefault="0030688A">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39548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395488&amp;lt;/CaseID&amp;gt;_x000d__x000a_        &amp;lt;CaseMonth&amp;gt;7&amp;lt;/CaseMonth&amp;gt;_x000d__x000a_        &amp;lt;CaseYear&amp;gt;2023&amp;lt;/CaseYear&amp;gt;_x000d__x000a_        &amp;lt;CaseNumber&amp;gt;5105&amp;lt;/CaseNumber&amp;gt;_x000d__x000a_        &amp;lt;NumeratorGroupID&amp;gt;1&amp;lt;/NumeratorGroupID&amp;gt;_x000d__x000a_        &amp;lt;CaseName&amp;gt;שניר נ&amp;#39; ישעיה&amp;lt;/CaseName&amp;gt;_x000d__x000a_        &amp;lt;CourtID&amp;gt;15&amp;lt;/CourtID&amp;gt;_x000d__x000a_        &amp;lt;CaseTypeID&amp;gt;10074&amp;lt;/CaseTypeID&amp;gt;_x000d__x000a_        &amp;lt;CaseInterestID&amp;gt;10641&amp;lt;/CaseInterestID&amp;gt;_x000d__x000a_        &amp;lt;CaseJudgeName&amp;gt;שאול שוחט&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5105-07-23&amp;lt;/CaseDisplayIdentifier&amp;gt;_x000d__x000a_        &amp;lt;CaseTypeDesc&amp;gt;רמ&amp;quot;ש&amp;lt;/CaseTypeDesc&amp;gt;_x000d__x000a_        &amp;lt;CourtDesc&amp;gt;המחוזי תל אביב - יפו&amp;lt;/CourtDesc&amp;gt;_x000d__x000a_        &amp;lt;CaseStageDesc&amp;gt;תיק אלקטרוני&amp;lt;/CaseStageDesc&amp;gt;_x000d__x000a_        &amp;lt;IsUnpaidFeeExist&amp;gt;false&amp;lt;/IsUnpaidFeeExist&amp;gt;_x000d__x000a_        &amp;lt;CaseNextDeterminingTask&amp;gt;140&amp;lt;/CaseNextDeterminingTask&amp;gt;_x000d__x000a_        &amp;lt;CaseOpenDate&amp;gt;2023-07-03T12:37:00+03:00&amp;lt;/CaseOpenDate&amp;gt;_x000d__x000a_        &amp;lt;PleaTypeID&amp;gt;5&amp;lt;/PleaTypeID&amp;gt;_x000d__x000a_        &amp;lt;CourtLevelID&amp;gt;2&amp;lt;/CourtLevelID&amp;gt;_x000d__x000a_        &amp;lt;CourtLevelCaseTypeInterestID&amp;gt;2109&amp;lt;/CourtLevelCaseTypeInterestID&amp;gt;_x000d__x000a_        &amp;lt;CaseJudgeFirstName&amp;gt;שאול&amp;lt;/CaseJudgeFirstName&amp;gt;_x000d__x000a_        &amp;lt;CaseJudgeLastName&amp;gt;שוחט&amp;lt;/CaseJudgeLastName&amp;gt;_x000d__x000a_        &amp;lt;JudicalPersonID&amp;gt;053515011@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IsMainCase&amp;gt;true&amp;lt;/IsMainCase&amp;gt;_x000d__x000a_        &amp;lt;CaseDesc&amp;gt;ללשכה.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395488&amp;lt;/CaseID&amp;gt;_x000d__x000a_        &amp;lt;CaseMonth&amp;gt;7&amp;lt;/CaseMonth&amp;gt;_x000d__x000a_        &amp;lt;CaseYear&amp;gt;2023&amp;lt;/CaseYear&amp;gt;_x000d__x000a_        &amp;lt;CaseNumber&amp;gt;5105&amp;lt;/CaseNumber&amp;gt;_x000d__x000a_        &amp;lt;NumeratorGroupID&amp;gt;1&amp;lt;/NumeratorGroupID&amp;gt;_x000d__x000a_        &amp;lt;CaseName&amp;gt;שניר נ&amp;#39; ישעיה&amp;lt;/CaseName&amp;gt;_x000d__x000a_        &amp;lt;CourtID&amp;gt;15&amp;lt;/CourtID&amp;gt;_x000d__x000a_        &amp;lt;CaseTypeID&amp;gt;10074&amp;lt;/CaseTypeID&amp;gt;_x000d__x000a_        &amp;lt;CaseInterestID&amp;gt;10641&amp;lt;/CaseInterestID&amp;gt;_x000d__x000a_        &amp;lt;CaseJudgeName&amp;gt;שאול שוחט&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5105-07-23&amp;lt;/CaseDisplayIdentifier&amp;gt;_x000d__x000a_        &amp;lt;CaseTypeDesc&amp;gt;רמ&amp;quot;ש&amp;lt;/CaseTypeDesc&amp;gt;_x000d__x000a_        &amp;lt;CourtDesc&amp;gt;המחוזי תל אביב - יפו&amp;lt;/CourtDesc&amp;gt;_x000d__x000a_        &amp;lt;CaseStageDesc&amp;gt;תיק אלקטרוני&amp;lt;/CaseStageDesc&amp;gt;_x000d__x000a_        &amp;lt;CaseNextDeterminingTask&amp;gt;140&amp;lt;/CaseNextDeterminingTask&amp;gt;_x000d__x000a_        &amp;lt;CaseOpenDate&amp;gt;2023-07-03T12:37:00+03:00&amp;lt;/CaseOpenDate&amp;gt;_x000d__x000a_        &amp;lt;PleaTypeID&amp;gt;5&amp;lt;/PleaTypeID&amp;gt;_x000d__x000a_        &amp;lt;CourtLevelID&amp;gt;2&amp;lt;/CourtLevelID&amp;gt;_x000d__x000a_        &amp;lt;CourtLevelCaseTypeInterestID&amp;gt;2109&amp;lt;/CourtLevelCaseTypeInterestID&amp;gt;_x000d__x000a_        &amp;lt;CaseJudgeFirstName&amp;gt;שאול&amp;lt;/CaseJudgeFirstName&amp;gt;_x000d__x000a_        &amp;lt;CaseJudgeLastName&amp;gt;שוחט&amp;lt;/CaseJudgeLastName&amp;gt;_x000d__x000a_        &amp;lt;JudicalPersonID&amp;gt;053515011@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IsMainCase&amp;gt;true&amp;lt;/IsMainCase&amp;gt;_x000d__x000a_        &amp;lt;CaseDesc&amp;gt;ללשכה.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6650538&amp;lt;/DecisionID&amp;gt;_x000d__x000a_        &amp;lt;DecisionName&amp;gt;פסק דין  שניתנה ע&amp;quot;י  שאול שוחט&amp;lt;/DecisionName&amp;gt;_x000d__x000a_        &amp;lt;DecisionStatusID&amp;gt;1&amp;lt;/DecisionStatusID&amp;gt;_x000d__x000a_        &amp;lt;DecisionStatusChangeDate&amp;gt;2023-08-09T15:18:16.483+03:00&amp;lt;/DecisionStatusChangeDate&amp;gt;_x000d__x000a_        &amp;lt;DecisionSignatureDate&amp;gt;2023-08-09T15:18:15.253+03:00&amp;lt;/DecisionSignatureDate&amp;gt;_x000d__x000a_        &amp;lt;DecisionSignatureUserID&amp;gt;053515011@GOV.IL&amp;lt;/DecisionSignatureUserID&amp;gt;_x000d__x000a_        &amp;lt;DecisionCreateDate&amp;gt;2023-08-09T15:18:16.543+03:00&amp;lt;/DecisionCreateDate&amp;gt;_x000d__x000a_        &amp;lt;DecisionChangeDate&amp;gt;2023-08-09T15:18:16.623+03:00&amp;lt;/DecisionChangeDate&amp;gt;_x000d__x000a_        &amp;lt;DecisionChangeUserID&amp;gt;04085913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19062490&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3515011@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40859134@GOV.IL&amp;lt;/DecisionCreationUserID&amp;gt;_x000d__x000a_        &amp;lt;DecisionDisplayName&amp;gt;פסק דין  שניתנה ע&amp;quot;י  שאול שוחט&amp;lt;/DecisionDisplayName&amp;gt;_x000d__x000a_        &amp;lt;IsScanned&amp;gt;false&amp;lt;/IsScanned&amp;gt;_x000d__x000a_        &amp;lt;DecisionSignatureUserName&amp;gt;שאול שוחט&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amp;lt;/DecisionNumberInCase&amp;gt;_x000d__x000a_      &amp;lt;/dt_Decision&amp;gt;_x000d__x000a_      &amp;lt;dt_DecisionCase diffgr:id=&amp;quot;dt_DecisionCase1&amp;quot; msdata:rowOrder=&amp;quot;0&amp;quot;&amp;gt;_x000d__x000a_        &amp;lt;DecisionID&amp;gt;146650538&amp;lt;/DecisionID&amp;gt;_x000d__x000a_        &amp;lt;CaseID&amp;gt;80395488&amp;lt;/CaseID&amp;gt;_x000d__x000a_        &amp;lt;IsOriginal&amp;gt;true&amp;lt;/IsOriginal&amp;gt;_x000d__x000a_        &amp;lt;IsDeleted&amp;gt;false&amp;lt;/IsDeleted&amp;gt;_x000d__x000a_        &amp;lt;CaseName&amp;gt;שניר נ&amp;#39; ישעיה&amp;lt;/CaseName&amp;gt;_x000d__x000a_        &amp;lt;CaseDisplayIdentifier&amp;gt;5105-07-23 רמ&amp;quot;ש&amp;lt;/CaseDisplayIdentifier&amp;gt;_x000d__x000a_      &amp;lt;/dt_DecisionCase&amp;gt;_x000d__x000a_    &amp;lt;/DecisionDS&amp;gt;_x000d__x000a_  &amp;lt;/diffgr:diffgram&amp;gt;_x000d__x000a_&amp;lt;/DecisionDS&amp;gt;"/>
    <w:docVar w:name="DecisionID" w:val="146650538"/>
    <w:docVar w:name="WordClientAssemblyName" w:val="NGCS.Decision.ClientWordBL"/>
    <w:docVar w:name="WordClientClassName" w:val="NGCS.Decision.ClientWordBL.DecisionClient"/>
  </w:docVars>
  <w:rsids>
    <w:rsidRoot w:val="00694556"/>
    <w:rsid w:val="000002B3"/>
    <w:rsid w:val="00005C8B"/>
    <w:rsid w:val="000564AB"/>
    <w:rsid w:val="00064FBD"/>
    <w:rsid w:val="00096AF7"/>
    <w:rsid w:val="000B0DA9"/>
    <w:rsid w:val="000C3B0F"/>
    <w:rsid w:val="000F0BC8"/>
    <w:rsid w:val="00107E6D"/>
    <w:rsid w:val="0011194C"/>
    <w:rsid w:val="00116E4D"/>
    <w:rsid w:val="001346CC"/>
    <w:rsid w:val="00144D2A"/>
    <w:rsid w:val="00180519"/>
    <w:rsid w:val="001A612D"/>
    <w:rsid w:val="001C4003"/>
    <w:rsid w:val="0020333C"/>
    <w:rsid w:val="002265FF"/>
    <w:rsid w:val="0030688A"/>
    <w:rsid w:val="00307A6A"/>
    <w:rsid w:val="00307C40"/>
    <w:rsid w:val="00320433"/>
    <w:rsid w:val="003333B2"/>
    <w:rsid w:val="00333451"/>
    <w:rsid w:val="003506A5"/>
    <w:rsid w:val="0036743F"/>
    <w:rsid w:val="0043125D"/>
    <w:rsid w:val="0043502B"/>
    <w:rsid w:val="004359FB"/>
    <w:rsid w:val="0044462A"/>
    <w:rsid w:val="004C4BDF"/>
    <w:rsid w:val="004D0FA5"/>
    <w:rsid w:val="004D1187"/>
    <w:rsid w:val="004E6E3C"/>
    <w:rsid w:val="004E76EA"/>
    <w:rsid w:val="0050339D"/>
    <w:rsid w:val="00504841"/>
    <w:rsid w:val="00517733"/>
    <w:rsid w:val="005268F6"/>
    <w:rsid w:val="00547DB7"/>
    <w:rsid w:val="005A7523"/>
    <w:rsid w:val="005E2E46"/>
    <w:rsid w:val="005E63DC"/>
    <w:rsid w:val="00622BAA"/>
    <w:rsid w:val="006706BF"/>
    <w:rsid w:val="00671BD5"/>
    <w:rsid w:val="006805C1"/>
    <w:rsid w:val="00694556"/>
    <w:rsid w:val="006C3D60"/>
    <w:rsid w:val="006D201D"/>
    <w:rsid w:val="006E1A53"/>
    <w:rsid w:val="00704EDA"/>
    <w:rsid w:val="007E6115"/>
    <w:rsid w:val="007F4609"/>
    <w:rsid w:val="008023D9"/>
    <w:rsid w:val="00820005"/>
    <w:rsid w:val="00825203"/>
    <w:rsid w:val="00896889"/>
    <w:rsid w:val="008A14D8"/>
    <w:rsid w:val="008A44DA"/>
    <w:rsid w:val="008A757D"/>
    <w:rsid w:val="008C5714"/>
    <w:rsid w:val="00903896"/>
    <w:rsid w:val="00906F3D"/>
    <w:rsid w:val="009109C6"/>
    <w:rsid w:val="00912B5F"/>
    <w:rsid w:val="00A02D93"/>
    <w:rsid w:val="00A20EC2"/>
    <w:rsid w:val="00A60C42"/>
    <w:rsid w:val="00A912E2"/>
    <w:rsid w:val="00A94B64"/>
    <w:rsid w:val="00AC3B7B"/>
    <w:rsid w:val="00AC5209"/>
    <w:rsid w:val="00B80CBD"/>
    <w:rsid w:val="00B86096"/>
    <w:rsid w:val="00B96FA1"/>
    <w:rsid w:val="00BF1908"/>
    <w:rsid w:val="00C22D93"/>
    <w:rsid w:val="00C34482"/>
    <w:rsid w:val="00D33B86"/>
    <w:rsid w:val="00D53924"/>
    <w:rsid w:val="00D5484D"/>
    <w:rsid w:val="00D55D0C"/>
    <w:rsid w:val="00D677F5"/>
    <w:rsid w:val="00D96D8C"/>
    <w:rsid w:val="00DA6649"/>
    <w:rsid w:val="00E05465"/>
    <w:rsid w:val="00E26731"/>
    <w:rsid w:val="00E51415"/>
    <w:rsid w:val="00E54642"/>
    <w:rsid w:val="00EA67C8"/>
    <w:rsid w:val="00EC37E9"/>
    <w:rsid w:val="00F00140"/>
    <w:rsid w:val="00F002A0"/>
    <w:rsid w:val="00F6530F"/>
    <w:rsid w:val="00F84B6D"/>
    <w:rsid w:val="00FB7194"/>
    <w:rsid w:val="00FD79E4"/>
    <w:rsid w:val="00FE289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046B505-8601-4B5A-9E08-77154671D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109C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2077434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C7EB024E988478CBC55EA12A1694B53"/>
        <w:category>
          <w:name w:val="כללי"/>
          <w:gallery w:val="placeholder"/>
        </w:category>
        <w:types>
          <w:type w:val="bbPlcHdr"/>
        </w:types>
        <w:behaviors>
          <w:behavior w:val="content"/>
        </w:behaviors>
        <w:guid w:val="{B61043EE-A640-4974-81B4-F2972A713729}"/>
      </w:docPartPr>
      <w:docPartBody>
        <w:p w:rsidR="00785B86" w:rsidRDefault="00543A6E" w:rsidP="00543A6E">
          <w:pPr>
            <w:pStyle w:val="0C7EB024E988478CBC55EA12A1694B532"/>
          </w:pPr>
          <w:r>
            <w:rPr>
              <w:rFonts w:hint="eastAsia"/>
              <w:b/>
              <w:bCs/>
              <w:noProof w:val="0"/>
              <w:sz w:val="26"/>
              <w:szCs w:val="26"/>
              <w:rtl/>
            </w:rPr>
            <w:t>תאריך</w:t>
          </w:r>
          <w:r>
            <w:rPr>
              <w:b/>
              <w:bCs/>
              <w:noProof w:val="0"/>
              <w:sz w:val="26"/>
              <w:szCs w:val="26"/>
              <w:rtl/>
            </w:rPr>
            <w:t xml:space="preserve"> מתן החלטה לועזי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533B"/>
    <w:rsid w:val="00050456"/>
    <w:rsid w:val="00447574"/>
    <w:rsid w:val="0046533B"/>
    <w:rsid w:val="00543A6E"/>
    <w:rsid w:val="00785B86"/>
    <w:rsid w:val="00F478C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43A6E"/>
    <w:rPr>
      <w:color w:val="808080"/>
    </w:rPr>
  </w:style>
  <w:style w:type="paragraph" w:customStyle="1" w:styleId="0C7EB024E988478CBC55EA12A1694B53">
    <w:name w:val="0C7EB024E988478CBC55EA12A1694B53"/>
    <w:rsid w:val="00785B86"/>
    <w:pPr>
      <w:bidi/>
      <w:spacing w:after="0" w:line="240" w:lineRule="auto"/>
    </w:pPr>
    <w:rPr>
      <w:rFonts w:ascii="Times New Roman" w:eastAsia="Times New Roman" w:hAnsi="Times New Roman" w:cs="David"/>
      <w:noProof/>
      <w:sz w:val="24"/>
      <w:szCs w:val="24"/>
    </w:rPr>
  </w:style>
  <w:style w:type="paragraph" w:customStyle="1" w:styleId="0C7EB024E988478CBC55EA12A1694B531">
    <w:name w:val="0C7EB024E988478CBC55EA12A1694B531"/>
    <w:rsid w:val="00F478C7"/>
    <w:pPr>
      <w:bidi/>
      <w:spacing w:after="0" w:line="240" w:lineRule="auto"/>
    </w:pPr>
    <w:rPr>
      <w:rFonts w:ascii="Times New Roman" w:eastAsia="Times New Roman" w:hAnsi="Times New Roman" w:cs="David"/>
      <w:noProof/>
      <w:sz w:val="24"/>
      <w:szCs w:val="24"/>
    </w:rPr>
  </w:style>
  <w:style w:type="paragraph" w:customStyle="1" w:styleId="0C7EB024E988478CBC55EA12A1694B532">
    <w:name w:val="0C7EB024E988478CBC55EA12A1694B532"/>
    <w:rsid w:val="00543A6E"/>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80395488</CaseID>
    <CaseJudicialPersonPresentationDS>
      <CaseJudicalPersonActive>
        <CaseID>80395488</CaseID>
        <JudicialPersonID>053515011@GOV.IL</JudicialPersonID>
        <JudicialPersonTypeID>1</JudicialPersonTypeID>
        <JudicialTypeID>1</JudicialTypeID>
        <IsChairman>false</IsChairman>
        <TreatmentStartDate>2023-07-10T09:27:06.363+03:00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עינת סיני</FullName>
        <FirstName>עינת</FirstName>
        <LastName>סיני</LastName>
        <PartyPropertyName/>
        <AuthenticationTypeAndNumber>מ.ר. 17304</AuthenticationTypeAndNumber>
        <RepresentatedOrRepresentativesNames>אביבית ישעיה</RepresentatedOrRepresentativesNames>
        <RepresentatedOrRepresentativesCount>1</RepresentatedOrRepresentativesCount>
        <InvitedBy/>
        <CaseID>80395488</CaseID>
        <CaseJudicialPersonPresentationDS>
          <CaseJudicalPersonActive>
            <CaseID>80395488</CaseID>
            <JudicialPersonID>053515011@GOV.IL</JudicialPersonID>
            <JudicialPersonTypeID>1</JudicialPersonTypeID>
            <JudicialTypeID>1</JudicialTypeID>
            <IsChairman>false</IsChairman>
            <TreatmentStartDate>2023-07-10T09:27:06.363+03:00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258449001</CasePartyID>
        <PartyTypeID>2</PartyTypeID>
        <ActivityStatusID>1</ActivityStatusID>
        <PartyAliasID>23</PartyAliasID>
        <PartyAliasName>בא כוח משיבים</PartyAliasName>
        <LegalEntityID>397868</LegalEntityID>
        <CaseLegalEntityID>125195829</CaseLegalEntityID>
        <AuthenticationTypeID>4</AuthenticationTypeID>
        <AuthenticationTypeName>מ.ר.</AuthenticationTypeName>
        <LegalEntityNumber>17304</LegalEntityNumber>
        <IsMainPartyType>true</IsMainPartyType>
        <CaseDisplayIdentifier>5105-07-23</CaseDisplayIdentifier>
        <CaseTypeID>10074</CaseTypeID>
        <CaseTypeName>רשות ערעור משפחה (רמ"ש)</CaseTypeName>
        <CaseName>שניר נ' ישעיה</CaseName>
        <FullAddress>אריאל שרון 4 גבעתיים מגדל השחר</FullAddress>
        <EmailAddress>sglaw@zahav.net.il</EmailAddress>
        <MotionID>0</MotionID>
        <CasePleaID>0</CasePleaID>
        <LinkedCaseID>0</LinkedCaseID>
        <PartyID>2</PartyID>
        <CasePartyCategoryID>2</CasePartyCategoryID>
        <LegalEntityAddressID>81588558</LegalEntityAddressID>
        <LegalEntityEmailAddressID>67990752</LegalEntityEmailAddressID>
        <PleaTypeID>5</PleaTypeID>
        <LawyerOfficeName>משרד עו"ד: עינת סיני</LawyerOfficeName>
        <LawyerOfficeID>438512</LawyerOfficeID>
        <GroupPartyAlias/>
        <IsConverted>false</IsConverted>
        <LegalEntityNameID>18852</LegalEntityNameID>
        <RepresentatedNamesOfAssistant/>
        <LegalEntityTypeID>4</LegalEntityTypeID>
        <IsVerdictExists>false</IsVerdictExists>
        <IsAsirAzir>false</IsAsirAzir>
        <IsPublicationProhibited>false</IsPublicationProhibited>
        <PublicationProhibitedFullName>עינת סיני</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שי זהר</FullName>
        <FirstName>שי</FirstName>
        <LastName>זהר</LastName>
        <PartyPropertyName/>
        <AuthenticationTypeAndNumber>מ.ר. 47253</AuthenticationTypeAndNumber>
        <RepresentatedOrRepresentativesNames>רפאל שניר</RepresentatedOrRepresentativesNames>
        <RepresentatedOrRepresentativesCount>1</RepresentatedOrRepresentativesCount>
        <InvitedBy/>
        <CaseID>80395488</CaseID>
        <CaseJudicialPersonPresentationDS>
          <CaseJudicalPersonActive>
            <CaseID>80395488</CaseID>
            <JudicialPersonID>053515011@GOV.IL</JudicialPersonID>
            <JudicialPersonTypeID>1</JudicialPersonTypeID>
            <JudicialTypeID>1</JudicialTypeID>
            <IsChairman>false</IsChairman>
            <TreatmentStartDate>2023-07-10T09:27:06.363+03:00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257838446</CasePartyID>
        <PartyTypeID>2</PartyTypeID>
        <ActivityStatusID>1</ActivityStatusID>
        <PartyAliasID>22</PartyAliasID>
        <PartyAliasName>בא כוח מבקשים</PartyAliasName>
        <OrdinalNumber>1</OrdinalNumber>
        <LegalEntityID>7583283</LegalEntityID>
        <CaseLegalEntityID>125011552</CaseLegalEntityID>
        <AuthenticationTypeID>4</AuthenticationTypeID>
        <AuthenticationTypeName>מ.ר.</AuthenticationTypeName>
        <LegalEntityNumber>47253</LegalEntityNumber>
        <IsMainPartyType>true</IsMainPartyType>
        <CaseDisplayIdentifier>5105-07-23</CaseDisplayIdentifier>
        <CaseTypeID>10074</CaseTypeID>
        <CaseTypeName>רשות ערעור משפחה (רמ"ש)</CaseTypeName>
        <CaseName>שניר נ' ישעיה</CaseName>
        <FullAddress>מצדה 7 בני ברק ב.ס.ר 4</FullAddress>
        <EmailAddress>richter@mrelaw.co.il</EmailAddress>
        <MotionID>0</MotionID>
        <CasePleaID>0</CasePleaID>
        <LinkedCaseID>0</LinkedCaseID>
        <PartyID>1</PartyID>
        <CasePartyCategoryID>2</CasePartyCategoryID>
        <LegalEntityAddressID>80679896</LegalEntityAddressID>
        <LegalEntityEmailAddressID>31821672</LegalEntityEmailAddressID>
        <PleaTypeID>5</PleaTypeID>
        <LawyerOfficeName>משרד עו"ד שי זהר ושות'</LawyerOfficeName>
        <LawyerOfficeID>7583284</LawyerOfficeID>
        <GroupPartyAlias/>
        <IsConverted>false</IsConverted>
        <LegalEntityNameID>34793970</LegalEntityNameID>
        <RepresentatedNamesOfAssistant/>
        <LegalEntityTypeID>4</LegalEntityTypeID>
        <IsVerdictExists>false</IsVerdictExists>
        <IsAsirAzir>false</IsAsirAzir>
        <IsPublicationProhibited>false</IsPublicationProhibited>
        <PublicationProhibitedFullName>שי זהר</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רפאל שניר</FullName>
        <FirstName>רפאל רפי</FirstName>
        <LastName>שניר</LastName>
        <PartyPropertyName/>
        <AuthenticationTypeAndNumber>ת"ז 022403307</AuthenticationTypeAndNumber>
        <RepresentatedOrRepresentativesNames>שי זהר</RepresentatedOrRepresentativesNames>
        <RepresentatedOrRepresentativesCount>1</RepresentatedOrRepresentativesCount>
        <InvitedBy/>
        <CaseID>80395488</CaseID>
        <CaseJudicialPersonPresentationDS>
          <CaseJudicalPersonActive>
            <CaseID>80395488</CaseID>
            <JudicialPersonID>053515011@GOV.IL</JudicialPersonID>
            <JudicialPersonTypeID>1</JudicialPersonTypeID>
            <JudicialTypeID>1</JudicialTypeID>
            <IsChairman>false</IsChairman>
            <TreatmentStartDate>2023-07-10T09:27:06.363+03:00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257838444</CasePartyID>
        <PartyTypeID>1</PartyTypeID>
        <ActivityStatusID>1</ActivityStatusID>
        <PartyAliasID>3</PartyAliasID>
        <PartyAliasName>מבקש</PartyAliasName>
        <OrdinalNumber>1</OrdinalNumber>
        <LegalEntityID>71145381</LegalEntityID>
        <CaseLegalEntityID>125011550</CaseLegalEntityID>
        <AuthenticationTypeID>1</AuthenticationTypeID>
        <AuthenticationTypeName>ת"ז</AuthenticationTypeName>
        <LegalEntityNumber>022403307</LegalEntityNumber>
        <IsMainPartyType>true</IsMainPartyType>
        <CaseDisplayIdentifier>5105-07-23</CaseDisplayIdentifier>
        <CaseTypeID>10074</CaseTypeID>
        <CaseTypeName>רשות ערעור משפחה (רמ"ש)</CaseTypeName>
        <CaseName>שניר נ' ישעיה</CaseName>
        <FullAddress/>
        <MotionID>0</MotionID>
        <CasePleaID>0</CasePleaID>
        <FatherName>משה</FatherName>
        <LinkedCaseID>0</LinkedCaseID>
        <PartyID>1</PartyID>
        <CasePartyCategoryID>2</CasePartyCategoryID>
        <PleaTypeID>5</PleaTypeID>
        <GroupPartyAlias>מבקשים</GroupPartyAlias>
        <IsConverted>false</IsConverted>
        <LegalEntityRegisteredNameID>7157333</LegalEntityRegisteredNameID>
        <LegalEntityNameID>93278028</LegalEntityNameID>
        <RepresentatedNamesOfAssistant/>
        <LegalEntityTypeID>1</LegalEntityTypeID>
        <IsVerdictExists>false</IsVerdictExists>
        <IsAsirAzir>false</IsAsirAzir>
        <IsPublicationProhibited>false</IsPublicationProhibited>
        <PublicationProhibitedFullName>רפאל שניר</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אביבית ישעיה</FullName>
        <FirstName>אביבית</FirstName>
        <LastName>ישעיה שניר</LastName>
        <PartyPropertyName/>
        <AuthenticationTypeAndNumber>ת"ז 031388952</AuthenticationTypeAndNumber>
        <RepresentatedOrRepresentativesNames>עינת סיני</RepresentatedOrRepresentativesNames>
        <RepresentatedOrRepresentativesCount>1</RepresentatedOrRepresentativesCount>
        <InvitedBy/>
        <CaseID>80395488</CaseID>
        <CaseJudicialPersonPresentationDS>
          <CaseJudicalPersonActive>
            <CaseID>80395488</CaseID>
            <JudicialPersonID>053515011@GOV.IL</JudicialPersonID>
            <JudicialPersonTypeID>1</JudicialPersonTypeID>
            <JudicialTypeID>1</JudicialTypeID>
            <IsChairman>false</IsChairman>
            <TreatmentStartDate>2023-07-10T09:27:06.363+03:00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257838445</CasePartyID>
        <PartyTypeID>1</PartyTypeID>
        <ActivityStatusID>1</ActivityStatusID>
        <PartyAliasID>4</PartyAliasID>
        <PartyAliasName>משיב</PartyAliasName>
        <OrdinalNumber>1</OrdinalNumber>
        <LegalEntityID>71145380</LegalEntityID>
        <CaseLegalEntityID>125011551</CaseLegalEntityID>
        <AuthenticationTypeID>1</AuthenticationTypeID>
        <AuthenticationTypeName>ת"ז</AuthenticationTypeName>
        <LegalEntityNumber>031388952</LegalEntityNumber>
        <IsMainPartyType>true</IsMainPartyType>
        <CaseDisplayIdentifier>5105-07-23</CaseDisplayIdentifier>
        <CaseTypeID>10074</CaseTypeID>
        <CaseTypeName>רשות ערעור משפחה (רמ"ש)</CaseTypeName>
        <CaseName>שניר נ' ישעיה</CaseName>
        <FullAddress>בורוכוב 56 רעננה </FullAddress>
        <MotionID>0</MotionID>
        <CasePleaID>0</CasePleaID>
        <FatherName>חיים</FatherName>
        <LinkedCaseID>0</LinkedCaseID>
        <PartyID>2</PartyID>
        <CasePartyCategoryID>2</CasePartyCategoryID>
        <LegalEntityAddressID>88177572</LegalEntityAddressID>
        <PleaTypeID>5</PleaTypeID>
        <GroupPartyAlias>משיבים</GroupPartyAlias>
        <IsConverted>false</IsConverted>
        <LegalEntityRegisteredNameID>7157334</LegalEntityRegisteredNameID>
        <LegalEntityNameID>93278029</LegalEntityNameID>
        <RepresentatedNamesOfAssistant/>
        <LegalEntityTypeID>1</LegalEntityTypeID>
        <IsVerdictExists>false</IsVerdictExists>
        <IsAsirAzir>false</IsAsirAzir>
        <IsPublicationProhibited>false</IsPublicationProhibited>
        <PublicationProhibitedFullName>אביבית ישעיה</PublicationProhibitedFullName>
      </CaseParties>
    </CasePartiesSelectionDS>
    <DecisionName>פסק דין  שניתנה ע"י  שאול שוחט</DecisionName>
    <CourtDisplayName>בית המשפט המחוזי בתל אביב -יפו</CourtDisplayName>
    <IsCaseJudgePanel>false</IsCaseJudgePanel>
    <DecisionSignatureDate>2023-08-09T15:15:10.9578307+03:00</DecisionSignatureDate>
    <OpenCaseDate>2023-07-03T12:37:00+03:00</OpenCaseDate>
    <CaseFeeSum>0.000</CaseFeeSum>
    <DecisionTypeID>2</DecisionTypeID>
    <DecisionSignatureUserName>שאול שוחט</DecisionSignatureUserName>
    <DecisionSignatureDateHebrew>2023-08-09T15:15:10.9578307+03:00</DecisionSignatureDateHebrew>
    <DecisionWriterID>053515011@GOV.IL</DecisionWriterID>
    <CourtAddress>רח' ויצמן  1 היכל המשפט, תל אביב -יפו 64239</CourtAddress>
    <IsAutoTextInCaseExist>false</IsAutoTextInCaseExist>
    <DecisionSignatureRoleName>שופט</DecisionSignatureRoleName>
    <DecisionSignatureUserTitleName>שופט, סגן הנשיא</DecisionSignatureUserTitleName>
    <CaseName>שניר נ' ישעיה</CaseName>
    <DecisionNumberInCase>2</DecisionNumberInCase>
  </dt_Decision>
  <dt_DecisionCase>
    <DecisionID>0</DecisionID>
    <CaseID>80395488</CaseID>
    <CaseJudicialPersonPresentationDS>
      <CaseJudicalPersonActive>
        <CaseID>80395488</CaseID>
        <JudicialPersonID>053515011@GOV.IL</JudicialPersonID>
        <JudicialPersonTypeID>1</JudicialPersonTypeID>
        <JudicialTypeID>1</JudicialTypeID>
        <IsChairman>false</IsChairman>
        <TreatmentStartDate>2023-07-10T09:27:06.363+03:00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עינת סיני</FullName>
        <FirstName>עינת</FirstName>
        <LastName>סיני</LastName>
        <PartyPropertyName/>
        <AuthenticationTypeAndNumber>מ.ר. 17304</AuthenticationTypeAndNumber>
        <RepresentatedOrRepresentativesNames>אביבית ישעיה</RepresentatedOrRepresentativesNames>
        <RepresentatedOrRepresentativesCount>1</RepresentatedOrRepresentativesCount>
        <InvitedBy/>
        <CaseID>80395488</CaseID>
        <CaseJudicialPersonPresentationDS>
          <CaseJudicalPersonActive>
            <CaseID>80395488</CaseID>
            <JudicialPersonID>053515011@GOV.IL</JudicialPersonID>
            <JudicialPersonTypeID>1</JudicialPersonTypeID>
            <JudicialTypeID>1</JudicialTypeID>
            <IsChairman>false</IsChairman>
            <TreatmentStartDate>2023-07-10T09:27:06.363+03:00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258449001</CasePartyID>
        <PartyTypeID>2</PartyTypeID>
        <ActivityStatusID>1</ActivityStatusID>
        <PartyAliasID>23</PartyAliasID>
        <PartyAliasName>בא כוח משיבים</PartyAliasName>
        <LegalEntityID>397868</LegalEntityID>
        <CaseLegalEntityID>125195829</CaseLegalEntityID>
        <AuthenticationTypeID>4</AuthenticationTypeID>
        <AuthenticationTypeName>מ.ר.</AuthenticationTypeName>
        <LegalEntityNumber>17304</LegalEntityNumber>
        <IsMainPartyType>true</IsMainPartyType>
        <CaseDisplayIdentifier>5105-07-23</CaseDisplayIdentifier>
        <CaseTypeID>10074</CaseTypeID>
        <CaseTypeName>רשות ערעור משפחה (רמ"ש)</CaseTypeName>
        <CaseName>שניר נ' ישעיה</CaseName>
        <FullAddress>אריאל שרון 4 גבעתיים מגדל השחר</FullAddress>
        <EmailAddress>sglaw@zahav.net.il</EmailAddress>
        <MotionID>0</MotionID>
        <CasePleaID>0</CasePleaID>
        <LinkedCaseID>0</LinkedCaseID>
        <PartyID>2</PartyID>
        <CasePartyCategoryID>2</CasePartyCategoryID>
        <LegalEntityAddressID>81588558</LegalEntityAddressID>
        <LegalEntityEmailAddressID>67990752</LegalEntityEmailAddressID>
        <PleaTypeID>5</PleaTypeID>
        <LawyerOfficeName>משרד עו"ד: עינת סיני</LawyerOfficeName>
        <LawyerOfficeID>438512</LawyerOfficeID>
        <GroupPartyAlias/>
        <IsConverted>false</IsConverted>
        <LegalEntityNameID>18852</LegalEntityNameID>
        <RepresentatedNamesOfAssistant/>
        <LegalEntityTypeID>4</LegalEntityTypeID>
        <IsVerdictExists>false</IsVerdictExists>
        <IsAsirAzir>false</IsAsirAzir>
        <IsPublicationProhibited>false</IsPublicationProhibited>
        <PublicationProhibitedFullName>עינת סיני</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שי זהר</FullName>
        <FirstName>שי</FirstName>
        <LastName>זהר</LastName>
        <PartyPropertyName/>
        <AuthenticationTypeAndNumber>מ.ר. 47253</AuthenticationTypeAndNumber>
        <RepresentatedOrRepresentativesNames>רפאל שניר</RepresentatedOrRepresentativesNames>
        <RepresentatedOrRepresentativesCount>1</RepresentatedOrRepresentativesCount>
        <InvitedBy/>
        <CaseID>80395488</CaseID>
        <CaseJudicialPersonPresentationDS>
          <CaseJudicalPersonActive>
            <CaseID>80395488</CaseID>
            <JudicialPersonID>053515011@GOV.IL</JudicialPersonID>
            <JudicialPersonTypeID>1</JudicialPersonTypeID>
            <JudicialTypeID>1</JudicialTypeID>
            <IsChairman>false</IsChairman>
            <TreatmentStartDate>2023-07-10T09:27:06.363+03:00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257838446</CasePartyID>
        <PartyTypeID>2</PartyTypeID>
        <ActivityStatusID>1</ActivityStatusID>
        <PartyAliasID>22</PartyAliasID>
        <PartyAliasName>בא כוח מבקשים</PartyAliasName>
        <OrdinalNumber>1</OrdinalNumber>
        <LegalEntityID>7583283</LegalEntityID>
        <CaseLegalEntityID>125011552</CaseLegalEntityID>
        <AuthenticationTypeID>4</AuthenticationTypeID>
        <AuthenticationTypeName>מ.ר.</AuthenticationTypeName>
        <LegalEntityNumber>47253</LegalEntityNumber>
        <IsMainPartyType>true</IsMainPartyType>
        <CaseDisplayIdentifier>5105-07-23</CaseDisplayIdentifier>
        <CaseTypeID>10074</CaseTypeID>
        <CaseTypeName>רשות ערעור משפחה (רמ"ש)</CaseTypeName>
        <CaseName>שניר נ' ישעיה</CaseName>
        <FullAddress>מצדה 7 בני ברק ב.ס.ר 4</FullAddress>
        <EmailAddress>richter@mrelaw.co.il</EmailAddress>
        <MotionID>0</MotionID>
        <CasePleaID>0</CasePleaID>
        <LinkedCaseID>0</LinkedCaseID>
        <PartyID>1</PartyID>
        <CasePartyCategoryID>2</CasePartyCategoryID>
        <LegalEntityAddressID>80679896</LegalEntityAddressID>
        <LegalEntityEmailAddressID>31821672</LegalEntityEmailAddressID>
        <PleaTypeID>5</PleaTypeID>
        <LawyerOfficeName>משרד עו"ד שי זהר ושות'</LawyerOfficeName>
        <LawyerOfficeID>7583284</LawyerOfficeID>
        <GroupPartyAlias/>
        <IsConverted>false</IsConverted>
        <LegalEntityNameID>34793970</LegalEntityNameID>
        <RepresentatedNamesOfAssistant/>
        <LegalEntityTypeID>4</LegalEntityTypeID>
        <IsVerdictExists>false</IsVerdictExists>
        <IsAsirAzir>false</IsAsirAzir>
        <IsPublicationProhibited>false</IsPublicationProhibited>
        <PublicationProhibitedFullName>שי זהר</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רפאל שניר</FullName>
        <FirstName>רפאל רפי</FirstName>
        <LastName>שניר</LastName>
        <PartyPropertyName/>
        <AuthenticationTypeAndNumber>ת"ז 022403307</AuthenticationTypeAndNumber>
        <RepresentatedOrRepresentativesNames>שי זהר</RepresentatedOrRepresentativesNames>
        <RepresentatedOrRepresentativesCount>1</RepresentatedOrRepresentativesCount>
        <InvitedBy/>
        <CaseID>80395488</CaseID>
        <CaseJudicialPersonPresentationDS>
          <CaseJudicalPersonActive>
            <CaseID>80395488</CaseID>
            <JudicialPersonID>053515011@GOV.IL</JudicialPersonID>
            <JudicialPersonTypeID>1</JudicialPersonTypeID>
            <JudicialTypeID>1</JudicialTypeID>
            <IsChairman>false</IsChairman>
            <TreatmentStartDate>2023-07-10T09:27:06.363+03:00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257838444</CasePartyID>
        <PartyTypeID>1</PartyTypeID>
        <ActivityStatusID>1</ActivityStatusID>
        <PartyAliasID>3</PartyAliasID>
        <PartyAliasName>מבקש</PartyAliasName>
        <OrdinalNumber>1</OrdinalNumber>
        <LegalEntityID>71145381</LegalEntityID>
        <CaseLegalEntityID>125011550</CaseLegalEntityID>
        <AuthenticationTypeID>1</AuthenticationTypeID>
        <AuthenticationTypeName>ת"ז</AuthenticationTypeName>
        <LegalEntityNumber>022403307</LegalEntityNumber>
        <IsMainPartyType>true</IsMainPartyType>
        <CaseDisplayIdentifier>5105-07-23</CaseDisplayIdentifier>
        <CaseTypeID>10074</CaseTypeID>
        <CaseTypeName>רשות ערעור משפחה (רמ"ש)</CaseTypeName>
        <CaseName>שניר נ' ישעיה</CaseName>
        <FullAddress/>
        <MotionID>0</MotionID>
        <CasePleaID>0</CasePleaID>
        <FatherName>משה</FatherName>
        <LinkedCaseID>0</LinkedCaseID>
        <PartyID>1</PartyID>
        <CasePartyCategoryID>2</CasePartyCategoryID>
        <PleaTypeID>5</PleaTypeID>
        <GroupPartyAlias>מבקשים</GroupPartyAlias>
        <IsConverted>false</IsConverted>
        <LegalEntityRegisteredNameID>7157333</LegalEntityRegisteredNameID>
        <LegalEntityNameID>93278028</LegalEntityNameID>
        <RepresentatedNamesOfAssistant/>
        <LegalEntityTypeID>1</LegalEntityTypeID>
        <IsVerdictExists>false</IsVerdictExists>
        <IsAsirAzir>false</IsAsirAzir>
        <IsPublicationProhibited>false</IsPublicationProhibited>
        <PublicationProhibitedFullName>רפאל שניר</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אביבית ישעיה</FullName>
        <FirstName>אביבית</FirstName>
        <LastName>ישעיה שניר</LastName>
        <PartyPropertyName/>
        <AuthenticationTypeAndNumber>ת"ז 031388952</AuthenticationTypeAndNumber>
        <RepresentatedOrRepresentativesNames>עינת סיני</RepresentatedOrRepresentativesNames>
        <RepresentatedOrRepresentativesCount>1</RepresentatedOrRepresentativesCount>
        <InvitedBy/>
        <CaseID>80395488</CaseID>
        <CaseJudicialPersonPresentationDS>
          <CaseJudicalPersonActive>
            <CaseID>80395488</CaseID>
            <JudicialPersonID>053515011@GOV.IL</JudicialPersonID>
            <JudicialPersonTypeID>1</JudicialPersonTypeID>
            <JudicialTypeID>1</JudicialTypeID>
            <IsChairman>false</IsChairman>
            <TreatmentStartDate>2023-07-10T09:27:06.363+03:00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257838445</CasePartyID>
        <PartyTypeID>1</PartyTypeID>
        <ActivityStatusID>1</ActivityStatusID>
        <PartyAliasID>4</PartyAliasID>
        <PartyAliasName>משיב</PartyAliasName>
        <OrdinalNumber>1</OrdinalNumber>
        <LegalEntityID>71145380</LegalEntityID>
        <CaseLegalEntityID>125011551</CaseLegalEntityID>
        <AuthenticationTypeID>1</AuthenticationTypeID>
        <AuthenticationTypeName>ת"ז</AuthenticationTypeName>
        <LegalEntityNumber>031388952</LegalEntityNumber>
        <IsMainPartyType>true</IsMainPartyType>
        <CaseDisplayIdentifier>5105-07-23</CaseDisplayIdentifier>
        <CaseTypeID>10074</CaseTypeID>
        <CaseTypeName>רשות ערעור משפחה (רמ"ש)</CaseTypeName>
        <CaseName>שניר נ' ישעיה</CaseName>
        <FullAddress>בורוכוב 56 רעננה </FullAddress>
        <MotionID>0</MotionID>
        <CasePleaID>0</CasePleaID>
        <FatherName>חיים</FatherName>
        <LinkedCaseID>0</LinkedCaseID>
        <PartyID>2</PartyID>
        <CasePartyCategoryID>2</CasePartyCategoryID>
        <LegalEntityAddressID>88177572</LegalEntityAddressID>
        <PleaTypeID>5</PleaTypeID>
        <GroupPartyAlias>משיבים</GroupPartyAlias>
        <IsConverted>false</IsConverted>
        <LegalEntityRegisteredNameID>7157334</LegalEntityRegisteredNameID>
        <LegalEntityNameID>93278029</LegalEntityNameID>
        <RepresentatedNamesOfAssistant/>
        <LegalEntityTypeID>1</LegalEntityTypeID>
        <IsVerdictExists>false</IsVerdictExists>
        <IsAsirAzir>false</IsAsirAzir>
        <IsPublicationProhibited>false</IsPublicationProhibited>
        <PublicationProhibitedFullName>אביבית ישעיה</PublicationProhibitedFullName>
      </CaseParties>
    </CasePartiesSelectionDS>
    <CaseName>שניר נ' ישעיה</CaseName>
    <CaseDisplayIdentifier>5105-07-23</CaseDisplayIdentifier>
    <CaseInterestID>10641</CaseInterestID>
    <CaseTypeShortName>רמ"ש</CaseTypeShortName>
  </dt_DecisionCase>
  <dt_DecisionJudgePanel>
    <JudgeID>053515011@GOV.IL</JudgeID>
    <DisplayName>שאול שוחט</DisplayName>
    <RoleName>שופט</RoleName>
    <UserTitleName>שופט, סגן הנשיא</UserTitleName>
  </dt_DecisionJudgePanel>
  <dt_LegalEntityDetails>
    <Fax>03-5660718</Fax>
    <Phone>03-5661545</Phone>
    <AddressDesc>מגדל השחר</AddressDesc>
    <PartyID>2</PartyID>
    <PartyTypeID>2</PartyTypeID>
    <DecisionID>0</DecisionID>
    <StreetName>אריאל שרון 4</StreetName>
    <ZipCode>5320047</ZipCode>
    <CityName>גבעתיים</CityName>
    <FullName>עינת סיני</FullName>
    <Email>sglaw@zahav.net.il</Email>
    <IsPublicationProhibited>false</IsPublicationProhibited>
  </dt_LegalEntityDetails>
  <dt_LegalEntityDetails>
    <PartyID>1</PartyID>
    <PartyTypeID>1</PartyTypeID>
    <DecisionID>0</DecisionID>
    <FullName>רפאל שניר</FullName>
    <IsPublicationProhibited>false</IsPublicationProhibited>
  </dt_LegalEntityDetails>
  <dt_LegalEntityDetails>
    <PartyID>2</PartyID>
    <PartyTypeID>1</PartyTypeID>
    <DecisionID>0</DecisionID>
    <StreetName>בורוכוב 56</StreetName>
    <CityName>רעננה</CityName>
    <FullName>אביבית ישעיה</FullName>
    <IsPublicationProhibited>false</IsPublicationProhibited>
  </dt_LegalEntityDetails>
  <dt_LegalEntityDetails>
    <Fax>03-5214972</Fax>
    <Phone>03-7511955</Phone>
    <AddressDesc>ב.ס.ר 4</AddressDesc>
    <PartyID>1</PartyID>
    <PartyTypeID>2</PartyTypeID>
    <DecisionID>0</DecisionID>
    <StreetName>מצדה 7</StreetName>
    <ZipCode>5126112</ZipCode>
    <CityName>בני ברק</CityName>
    <FullName>שי זהר</FullName>
    <Email>richter@mrelaw.co.il</Email>
    <IsPublicationProhibited>false</IsPublicationProhibited>
  </dt_LegalEntityDetails>
  <dt_CaseJudicalPersonActive>
    <CaseJudicalPerson>שופט, סגן הנשיא שאול שוחט</CaseJudicalPerson>
  </dt_CaseJudicalPersonActive>
  <dt_Sitting/>
</DecisionTemplateDS>
</file>

<file path=customXml/itemProps1.xml><?xml version="1.0" encoding="utf-8"?>
<ds:datastoreItem xmlns:ds="http://schemas.openxmlformats.org/officeDocument/2006/customXml" ds:itemID="{EBC72068-4C47-43E9-94F9-D2EE395ACCE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2978</Words>
  <Characters>14894</Characters>
  <Application>Microsoft Office Word</Application>
  <DocSecurity>0</DocSecurity>
  <Lines>124</Lines>
  <Paragraphs>35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17837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2023-09-04T08:49:00Z</dcterms:created>
  <dcterms:modified xsi:type="dcterms:W3CDTF">2023-09-04T08:49:00Z</dcterms:modified>
</cp:coreProperties>
</file>